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68" w:rsidRDefault="006545B0" w:rsidP="00DD2A68">
      <w:pPr>
        <w:pStyle w:val="Untertitel"/>
        <w:tabs>
          <w:tab w:val="right" w:pos="9638"/>
        </w:tabs>
        <w:spacing w:before="0" w:line="240" w:lineRule="auto"/>
        <w:rPr>
          <w:color w:val="404040" w:themeColor="text1" w:themeTint="BF"/>
        </w:rPr>
      </w:pPr>
      <w:r>
        <w:rPr>
          <w:b/>
          <w:color w:val="404040" w:themeColor="text1" w:themeTint="BF"/>
          <w:sz w:val="40"/>
          <w:szCs w:val="54"/>
        </w:rPr>
        <w:t>Leitfaden</w:t>
      </w:r>
      <w:r w:rsidR="00DD2A68">
        <w:rPr>
          <w:b/>
          <w:color w:val="404040" w:themeColor="text1" w:themeTint="BF"/>
          <w:sz w:val="40"/>
          <w:szCs w:val="54"/>
        </w:rPr>
        <w:t xml:space="preserve"> für die individuelle Bewertung einer Energieeffizienzmaßnahme</w:t>
      </w:r>
      <w:r w:rsidR="00DD2A68" w:rsidRPr="00187430">
        <w:rPr>
          <w:b/>
          <w:color w:val="404040" w:themeColor="text1" w:themeTint="BF"/>
          <w:sz w:val="40"/>
          <w:szCs w:val="54"/>
        </w:rPr>
        <w:t xml:space="preserve"> </w:t>
      </w:r>
    </w:p>
    <w:p w:rsidR="00DD2A68" w:rsidRDefault="00DD2A68" w:rsidP="00DD2A68">
      <w:pPr>
        <w:pStyle w:val="Untertitel"/>
        <w:pBdr>
          <w:bottom w:val="single" w:sz="4" w:space="1" w:color="BFBFBF" w:themeColor="background1" w:themeShade="BF"/>
        </w:pBdr>
        <w:tabs>
          <w:tab w:val="right" w:pos="9638"/>
        </w:tabs>
        <w:spacing w:before="0" w:line="240" w:lineRule="auto"/>
      </w:pPr>
      <w:r>
        <w:rPr>
          <w:color w:val="404040" w:themeColor="text1" w:themeTint="BF"/>
        </w:rPr>
        <w:tab/>
      </w:r>
      <w:r>
        <w:rPr>
          <w:color w:val="404040" w:themeColor="text1" w:themeTint="BF"/>
          <w:sz w:val="20"/>
        </w:rPr>
        <w:fldChar w:fldCharType="begin"/>
      </w:r>
      <w:r>
        <w:rPr>
          <w:color w:val="404040" w:themeColor="text1" w:themeTint="BF"/>
          <w:sz w:val="20"/>
        </w:rPr>
        <w:instrText xml:space="preserve"> DATE  \@ "d. MMMM yyyy"  \* MERGEFORMAT </w:instrText>
      </w:r>
      <w:r>
        <w:rPr>
          <w:color w:val="404040" w:themeColor="text1" w:themeTint="BF"/>
          <w:sz w:val="20"/>
        </w:rPr>
        <w:fldChar w:fldCharType="separate"/>
      </w:r>
      <w:r w:rsidR="00D50FF8">
        <w:rPr>
          <w:noProof/>
          <w:color w:val="404040" w:themeColor="text1" w:themeTint="BF"/>
          <w:sz w:val="20"/>
        </w:rPr>
        <w:t>15. Dezember 2016</w:t>
      </w:r>
      <w:r>
        <w:rPr>
          <w:color w:val="404040" w:themeColor="text1" w:themeTint="BF"/>
          <w:sz w:val="20"/>
        </w:rPr>
        <w:fldChar w:fldCharType="end"/>
      </w:r>
    </w:p>
    <w:p w:rsidR="00DD2A68" w:rsidRPr="00D36765" w:rsidRDefault="00DD2A68" w:rsidP="00DD2A68">
      <w:pPr>
        <w:pStyle w:val="Standardtext"/>
        <w:rPr>
          <w:i/>
          <w:color w:val="808080" w:themeColor="background1" w:themeShade="80"/>
          <w:sz w:val="16"/>
        </w:rPr>
      </w:pPr>
      <w:r>
        <w:rPr>
          <w:i/>
          <w:color w:val="808080" w:themeColor="background1" w:themeShade="80"/>
          <w:sz w:val="16"/>
        </w:rPr>
        <w:t>Version: Dezemer</w:t>
      </w:r>
      <w:r w:rsidRPr="00D36765">
        <w:rPr>
          <w:i/>
          <w:color w:val="808080" w:themeColor="background1" w:themeShade="80"/>
          <w:sz w:val="16"/>
        </w:rPr>
        <w:t xml:space="preserve"> 201</w:t>
      </w:r>
      <w:r>
        <w:rPr>
          <w:i/>
          <w:color w:val="808080" w:themeColor="background1" w:themeShade="80"/>
          <w:sz w:val="16"/>
        </w:rPr>
        <w:t>6</w:t>
      </w:r>
    </w:p>
    <w:p w:rsidR="00DD2A68" w:rsidRDefault="00DD2A68" w:rsidP="00DD2A68">
      <w:pPr>
        <w:pStyle w:val="Standardtext"/>
        <w:jc w:val="center"/>
      </w:pPr>
    </w:p>
    <w:p w:rsidR="00DD2A68" w:rsidRDefault="00DD2A68" w:rsidP="00DD2A68">
      <w:pPr>
        <w:pStyle w:val="Standardtext"/>
        <w:rPr>
          <w:lang w:val="de-DE"/>
        </w:rPr>
      </w:pPr>
      <w:r w:rsidRPr="00F06F90">
        <w:rPr>
          <w:b/>
          <w:noProof/>
          <w:color w:val="FF0000"/>
          <w:sz w:val="18"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7A4003" wp14:editId="1EF6AA9A">
                <wp:simplePos x="0" y="0"/>
                <wp:positionH relativeFrom="column">
                  <wp:posOffset>-15240</wp:posOffset>
                </wp:positionH>
                <wp:positionV relativeFrom="paragraph">
                  <wp:posOffset>-4446</wp:posOffset>
                </wp:positionV>
                <wp:extent cx="6124575" cy="65722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CE321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2A68" w:rsidRPr="00BB0141" w:rsidRDefault="00DD2A68" w:rsidP="00DD2A68">
                            <w:pPr>
                              <w:spacing w:after="0"/>
                              <w:rPr>
                                <w:b/>
                                <w:color w:val="CE321A"/>
                                <w:sz w:val="2"/>
                              </w:rPr>
                            </w:pPr>
                          </w:p>
                          <w:p w:rsidR="00DD2A68" w:rsidRPr="003047B6" w:rsidRDefault="00DD2A68" w:rsidP="00DD2A68">
                            <w:pPr>
                              <w:spacing w:after="120" w:line="240" w:lineRule="auto"/>
                              <w:jc w:val="center"/>
                            </w:pPr>
                            <w:r w:rsidRPr="003047B6">
                              <w:rPr>
                                <w:color w:val="404040" w:themeColor="text1" w:themeTint="BF"/>
                              </w:rPr>
                              <w:t>Eine „individuelle Bewertung“ ist eine gutachterliche Evaluierung von Energieeinsparungen, die auf Basis der Vorgaben der Verordnung BGBl. II Nr. 394/2015 für einzelne Energieeffizienzmaßnahmen vorgenommen wurde.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left:0;text-align:left;margin-left:-1.2pt;margin-top:-.35pt;width:482.2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" fillcolor="#f2f2f2 [3052]" strokecolor="#ce321a" strokeweight=".5pt">
                <v:textbox>
                  <w:txbxContent>
                    <w:p w:rsidR="00DD2A68" w:rsidRPr="00BB0141" w:rsidRDefault="00DD2A68" w:rsidP="00DD2A68">
                      <w:pPr>
                        <w:spacing w:after="0"/>
                        <w:rPr>
                          <w:b/>
                          <w:color w:val="CE321A"/>
                          <w:sz w:val="2"/>
                        </w:rPr>
                      </w:pPr>
                    </w:p>
                    <w:p w:rsidR="00DD2A68" w:rsidRPr="003047B6" w:rsidRDefault="00DD2A68" w:rsidP="00DD2A68">
                      <w:pPr>
                        <w:spacing w:after="120" w:line="240" w:lineRule="auto"/>
                        <w:jc w:val="center"/>
                      </w:pPr>
                      <w:r w:rsidRPr="003047B6">
                        <w:rPr>
                          <w:color w:val="404040" w:themeColor="text1" w:themeTint="BF"/>
                        </w:rPr>
                        <w:t>Eine „individuelle Bewertung“ ist eine gutachterliche Evaluierung von Energieeinsparungen, die auf Basis der Vorgaben der Verordnung BGBl. II Nr. 394/2015 für einzelne Energieeffizienzmaßnahmen vorgenommen wurde.</w:t>
                      </w:r>
                    </w:p>
                  </w:txbxContent>
                </v:textbox>
              </v:rect>
            </w:pict>
          </mc:Fallback>
        </mc:AlternateContent>
      </w:r>
    </w:p>
    <w:p w:rsidR="00DD2A68" w:rsidRPr="005D5D43" w:rsidRDefault="00DD2A68" w:rsidP="00DD2A68">
      <w:pPr>
        <w:tabs>
          <w:tab w:val="left" w:pos="6105"/>
        </w:tabs>
        <w:rPr>
          <w:lang w:val="de-DE"/>
        </w:rPr>
      </w:pPr>
      <w:r>
        <w:rPr>
          <w:lang w:val="de-DE"/>
        </w:rPr>
        <w:tab/>
      </w:r>
    </w:p>
    <w:p w:rsidR="00DD2A68" w:rsidRPr="005D5D43" w:rsidRDefault="00DD2A68" w:rsidP="00DD2A68">
      <w:pPr>
        <w:rPr>
          <w:lang w:val="de-DE"/>
        </w:rPr>
      </w:pPr>
    </w:p>
    <w:p w:rsidR="00DD2A68" w:rsidRPr="000F4738" w:rsidRDefault="00A67A73" w:rsidP="00DD2A68">
      <w:pPr>
        <w:rPr>
          <w:b/>
          <w:color w:val="404040" w:themeColor="text1" w:themeTint="BF"/>
          <w:sz w:val="24"/>
          <w:szCs w:val="20"/>
        </w:rPr>
      </w:pPr>
      <w:bookmarkStart w:id="0" w:name="Gutachten"/>
      <w:r>
        <w:rPr>
          <w:b/>
          <w:color w:val="404040" w:themeColor="text1" w:themeTint="BF"/>
          <w:sz w:val="36"/>
        </w:rPr>
        <w:t>1.</w:t>
      </w:r>
      <w:r w:rsidR="00DD2A68">
        <w:rPr>
          <w:b/>
          <w:color w:val="404040" w:themeColor="text1" w:themeTint="BF"/>
          <w:sz w:val="36"/>
        </w:rPr>
        <w:t xml:space="preserve"> </w:t>
      </w:r>
      <w:r>
        <w:rPr>
          <w:b/>
          <w:color w:val="404040" w:themeColor="text1" w:themeTint="BF"/>
          <w:sz w:val="36"/>
        </w:rPr>
        <w:t>Gutachten</w:t>
      </w:r>
      <w:r w:rsidR="00DD2A68">
        <w:rPr>
          <w:b/>
          <w:color w:val="404040" w:themeColor="text1" w:themeTint="BF"/>
          <w:sz w:val="36"/>
        </w:rPr>
        <w:br/>
      </w:r>
      <w:bookmarkEnd w:id="0"/>
      <w:r w:rsidR="00DD2A68" w:rsidRPr="007D6570">
        <w:rPr>
          <w:b/>
          <w:color w:val="404040" w:themeColor="text1" w:themeTint="BF"/>
          <w:sz w:val="12"/>
        </w:rPr>
        <w:br/>
      </w:r>
      <w:r>
        <w:rPr>
          <w:b/>
          <w:color w:val="404040" w:themeColor="text1" w:themeTint="BF"/>
          <w:sz w:val="24"/>
          <w:szCs w:val="20"/>
        </w:rPr>
        <w:t xml:space="preserve">1.1 </w:t>
      </w:r>
      <w:r w:rsidR="00DD2A68" w:rsidRPr="000F4738">
        <w:rPr>
          <w:b/>
          <w:color w:val="404040" w:themeColor="text1" w:themeTint="BF"/>
          <w:sz w:val="24"/>
          <w:szCs w:val="20"/>
        </w:rPr>
        <w:t xml:space="preserve"> Zulässigkeit einer individuellen Bewertung</w:t>
      </w:r>
    </w:p>
    <w:p w:rsidR="00DD2A68" w:rsidRPr="00E15424" w:rsidRDefault="00DD2A68" w:rsidP="00DD2A68">
      <w:pPr>
        <w:rPr>
          <w:i/>
          <w:color w:val="808080" w:themeColor="background1" w:themeShade="80"/>
          <w:sz w:val="20"/>
          <w:szCs w:val="20"/>
        </w:rPr>
      </w:pPr>
      <w:r w:rsidRPr="00E15424">
        <w:rPr>
          <w:i/>
          <w:color w:val="808080" w:themeColor="background1" w:themeShade="80"/>
          <w:sz w:val="20"/>
          <w:szCs w:val="20"/>
        </w:rPr>
        <w:t>Bitte geben Sie an, welcher Fall für die vorliegende Bewertung zutrifft. Eines der folgenden zwei Kriterien muss erfüllt sein.</w:t>
      </w:r>
    </w:p>
    <w:p w:rsidR="00DD2A68" w:rsidRPr="002C12A7" w:rsidRDefault="002D27C2" w:rsidP="00DD2A68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sdt>
        <w:sdtPr>
          <w:rPr>
            <w:color w:val="404040" w:themeColor="text1" w:themeTint="BF"/>
          </w:rPr>
          <w:id w:val="-67526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A68" w:rsidRPr="002C12A7">
            <w:rPr>
              <w:rFonts w:ascii="MS Gothic" w:eastAsia="MS Gothic" w:hAnsi="MS Gothic" w:hint="eastAsia"/>
              <w:color w:val="404040" w:themeColor="text1" w:themeTint="BF"/>
            </w:rPr>
            <w:t>☐</w:t>
          </w:r>
        </w:sdtContent>
      </w:sdt>
      <w:r w:rsidR="00DD2A68" w:rsidRPr="002C12A7">
        <w:rPr>
          <w:color w:val="404040" w:themeColor="text1" w:themeTint="BF"/>
        </w:rPr>
        <w:t xml:space="preserve"> </w:t>
      </w:r>
      <w:r w:rsidR="00DD2A68" w:rsidRPr="002C12A7">
        <w:rPr>
          <w:color w:val="404040" w:themeColor="text1" w:themeTint="BF"/>
        </w:rPr>
        <w:tab/>
        <w:t>Für den Anwendungsfall liegt keine verallgemeinerte Methode vor</w:t>
      </w:r>
    </w:p>
    <w:p w:rsidR="00461773" w:rsidRPr="002C12A7" w:rsidRDefault="002D27C2" w:rsidP="00DD2A68">
      <w:pPr>
        <w:tabs>
          <w:tab w:val="left" w:pos="426"/>
        </w:tabs>
        <w:spacing w:after="120" w:line="240" w:lineRule="auto"/>
        <w:ind w:left="420" w:hanging="420"/>
        <w:rPr>
          <w:color w:val="404040" w:themeColor="text1" w:themeTint="BF"/>
        </w:rPr>
      </w:pPr>
      <w:sdt>
        <w:sdtPr>
          <w:rPr>
            <w:rFonts w:ascii="MS Gothic" w:eastAsia="MS Gothic" w:hAnsi="MS Gothic" w:cs="MS Gothic" w:hint="eastAsia"/>
            <w:color w:val="404040" w:themeColor="text1" w:themeTint="BF"/>
          </w:rPr>
          <w:id w:val="63907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A68" w:rsidRPr="002C12A7">
            <w:rPr>
              <w:rFonts w:ascii="MS Gothic" w:eastAsia="MS Gothic" w:hAnsi="MS Gothic" w:cs="MS Gothic" w:hint="eastAsia"/>
              <w:color w:val="404040" w:themeColor="text1" w:themeTint="BF"/>
            </w:rPr>
            <w:t>☐</w:t>
          </w:r>
        </w:sdtContent>
      </w:sdt>
      <w:r w:rsidR="00DD2A68" w:rsidRPr="002C12A7">
        <w:rPr>
          <w:color w:val="404040" w:themeColor="text1" w:themeTint="BF"/>
        </w:rPr>
        <w:t xml:space="preserve"> </w:t>
      </w:r>
      <w:r w:rsidR="00DD2A68" w:rsidRPr="002C12A7">
        <w:rPr>
          <w:color w:val="404040" w:themeColor="text1" w:themeTint="BF"/>
        </w:rPr>
        <w:tab/>
        <w:t xml:space="preserve">Fachliche Gründe sprechen gegen die Verwendung einer verallgemeinerten Methode. </w:t>
      </w:r>
      <w:r w:rsidR="00DD2A68" w:rsidRPr="002C12A7">
        <w:rPr>
          <w:color w:val="404040" w:themeColor="text1" w:themeTint="BF"/>
        </w:rPr>
        <w:br/>
        <w:t>Bitte geben Sie die fachlichen Gründe hier an.</w:t>
      </w:r>
    </w:p>
    <w:p w:rsidR="00DD2A68" w:rsidRPr="002C12A7" w:rsidRDefault="00DD2A68" w:rsidP="00DD2A68">
      <w:pPr>
        <w:tabs>
          <w:tab w:val="left" w:pos="426"/>
        </w:tabs>
        <w:spacing w:after="0" w:line="240" w:lineRule="auto"/>
        <w:ind w:left="420" w:hanging="420"/>
        <w:rPr>
          <w:color w:val="404040" w:themeColor="text1" w:themeTint="BF"/>
          <w:sz w:val="16"/>
          <w:szCs w:val="16"/>
          <w:vertAlign w:val="subscript"/>
        </w:rPr>
      </w:pPr>
    </w:p>
    <w:p w:rsidR="00DD2A68" w:rsidRPr="002C12A7" w:rsidRDefault="00DD2A68" w:rsidP="00DD2A68">
      <w:pPr>
        <w:tabs>
          <w:tab w:val="left" w:pos="426"/>
        </w:tabs>
        <w:spacing w:after="120" w:line="240" w:lineRule="auto"/>
        <w:ind w:left="420" w:hanging="420"/>
        <w:rPr>
          <w:color w:val="404040" w:themeColor="text1" w:themeTint="BF"/>
        </w:rPr>
      </w:pPr>
      <w:r w:rsidRPr="002C12A7">
        <w:rPr>
          <w:color w:val="404040" w:themeColor="text1" w:themeTint="BF"/>
        </w:rPr>
        <w:t>Fachliche Gründe: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DD2A68" w:rsidRPr="00002FA0" w:rsidRDefault="00DD2A68" w:rsidP="00DD2A68">
      <w:pPr>
        <w:tabs>
          <w:tab w:val="left" w:pos="426"/>
        </w:tabs>
        <w:spacing w:after="120" w:line="240" w:lineRule="auto"/>
        <w:rPr>
          <w:lang w:val="de-DE"/>
        </w:rPr>
      </w:pPr>
    </w:p>
    <w:p w:rsidR="00DD2A68" w:rsidRDefault="00DD2A68" w:rsidP="00DD2A68">
      <w:pPr>
        <w:tabs>
          <w:tab w:val="left" w:pos="426"/>
        </w:tabs>
        <w:spacing w:after="120" w:line="240" w:lineRule="auto"/>
      </w:pPr>
    </w:p>
    <w:p w:rsidR="00002FA0" w:rsidRDefault="00002FA0" w:rsidP="00DD2A68">
      <w:pPr>
        <w:tabs>
          <w:tab w:val="left" w:pos="426"/>
        </w:tabs>
        <w:spacing w:after="120" w:line="240" w:lineRule="auto"/>
      </w:pPr>
    </w:p>
    <w:p w:rsidR="00DD2A68" w:rsidRPr="000F4738" w:rsidRDefault="00A67A73" w:rsidP="00DD2A68">
      <w:pPr>
        <w:rPr>
          <w:b/>
          <w:color w:val="404040" w:themeColor="text1" w:themeTint="BF"/>
          <w:sz w:val="24"/>
          <w:szCs w:val="20"/>
        </w:rPr>
      </w:pPr>
      <w:r>
        <w:rPr>
          <w:b/>
          <w:color w:val="404040" w:themeColor="text1" w:themeTint="BF"/>
          <w:sz w:val="24"/>
          <w:szCs w:val="20"/>
        </w:rPr>
        <w:t>1</w:t>
      </w:r>
      <w:r w:rsidR="00DD2A68" w:rsidRPr="000F4738">
        <w:rPr>
          <w:b/>
          <w:color w:val="404040" w:themeColor="text1" w:themeTint="BF"/>
          <w:sz w:val="24"/>
          <w:szCs w:val="20"/>
        </w:rPr>
        <w:t xml:space="preserve">.2 </w:t>
      </w:r>
      <w:r>
        <w:rPr>
          <w:b/>
          <w:color w:val="404040" w:themeColor="text1" w:themeTint="BF"/>
          <w:sz w:val="24"/>
          <w:szCs w:val="20"/>
        </w:rPr>
        <w:t xml:space="preserve"> </w:t>
      </w:r>
      <w:r w:rsidR="00DD2A68" w:rsidRPr="000F4738">
        <w:rPr>
          <w:b/>
          <w:color w:val="404040" w:themeColor="text1" w:themeTint="BF"/>
          <w:sz w:val="24"/>
          <w:szCs w:val="20"/>
        </w:rPr>
        <w:t>Gutachter</w:t>
      </w:r>
    </w:p>
    <w:p w:rsidR="00DD2A68" w:rsidRPr="00D27DB4" w:rsidRDefault="002C12A7" w:rsidP="00DD2A68">
      <w:pPr>
        <w:tabs>
          <w:tab w:val="left" w:pos="426"/>
        </w:tabs>
        <w:spacing w:after="120" w:line="240" w:lineRule="auto"/>
      </w:pPr>
      <w:r w:rsidRPr="002C12A7">
        <w:rPr>
          <w:color w:val="404040" w:themeColor="text1" w:themeTint="BF"/>
        </w:rPr>
        <w:t xml:space="preserve">Name des Gutachters: </w:t>
      </w:r>
      <w:r w:rsidR="00D27DB4"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 w:rsidR="00D27DB4">
        <w:rPr>
          <w:color w:val="404040" w:themeColor="text1" w:themeTint="BF"/>
        </w:rPr>
        <w:instrText xml:space="preserve"> FORMTEXT </w:instrText>
      </w:r>
      <w:r w:rsidR="00D27DB4">
        <w:rPr>
          <w:color w:val="404040" w:themeColor="text1" w:themeTint="BF"/>
        </w:rPr>
      </w:r>
      <w:r w:rsidR="00D27DB4">
        <w:rPr>
          <w:color w:val="404040" w:themeColor="text1" w:themeTint="BF"/>
        </w:rPr>
        <w:fldChar w:fldCharType="separate"/>
      </w:r>
      <w:r w:rsidR="00D27DB4">
        <w:rPr>
          <w:noProof/>
          <w:color w:val="404040" w:themeColor="text1" w:themeTint="BF"/>
        </w:rPr>
        <w:t>Bitte geben Sie hier Ihren Text ein</w:t>
      </w:r>
      <w:r w:rsidR="00D27DB4">
        <w:rPr>
          <w:color w:val="404040" w:themeColor="text1" w:themeTint="BF"/>
        </w:rPr>
        <w:fldChar w:fldCharType="end"/>
      </w:r>
    </w:p>
    <w:p w:rsidR="00DD2A68" w:rsidRDefault="00DD2A68" w:rsidP="00DD2A68">
      <w:pPr>
        <w:tabs>
          <w:tab w:val="left" w:pos="426"/>
        </w:tabs>
        <w:spacing w:after="120" w:line="240" w:lineRule="auto"/>
      </w:pPr>
    </w:p>
    <w:p w:rsidR="006A0E11" w:rsidRDefault="006A0E11" w:rsidP="00DD2A68">
      <w:pPr>
        <w:tabs>
          <w:tab w:val="left" w:pos="426"/>
        </w:tabs>
        <w:spacing w:after="120" w:line="240" w:lineRule="auto"/>
      </w:pPr>
    </w:p>
    <w:p w:rsidR="002C12A7" w:rsidRPr="00E15424" w:rsidRDefault="002C12A7" w:rsidP="00E15424">
      <w:pPr>
        <w:rPr>
          <w:i/>
          <w:color w:val="808080" w:themeColor="background1" w:themeShade="80"/>
          <w:sz w:val="20"/>
          <w:szCs w:val="20"/>
        </w:rPr>
      </w:pPr>
      <w:r w:rsidRPr="00E15424">
        <w:rPr>
          <w:i/>
          <w:color w:val="808080" w:themeColor="background1" w:themeShade="80"/>
          <w:sz w:val="20"/>
          <w:szCs w:val="20"/>
        </w:rPr>
        <w:t>Welche Voraussetzungen erfüllt der Gutachter? Mindestens eines der folgenden Kriterien muss erfüllt sein. Mehrfachnennung möglich.</w:t>
      </w:r>
    </w:p>
    <w:p w:rsidR="002C12A7" w:rsidRPr="002C12A7" w:rsidRDefault="002D27C2" w:rsidP="006664C5">
      <w:pPr>
        <w:tabs>
          <w:tab w:val="left" w:pos="426"/>
        </w:tabs>
        <w:spacing w:after="120" w:line="240" w:lineRule="auto"/>
        <w:ind w:left="420" w:hanging="420"/>
        <w:rPr>
          <w:color w:val="404040" w:themeColor="text1" w:themeTint="BF"/>
        </w:rPr>
      </w:pPr>
      <w:sdt>
        <w:sdtPr>
          <w:rPr>
            <w:color w:val="404040" w:themeColor="text1" w:themeTint="BF"/>
          </w:rPr>
          <w:id w:val="26944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FC8">
            <w:rPr>
              <w:rFonts w:ascii="MS Gothic" w:eastAsia="MS Gothic" w:hAnsi="MS Gothic" w:hint="eastAsia"/>
              <w:color w:val="404040" w:themeColor="text1" w:themeTint="BF"/>
            </w:rPr>
            <w:t>☐</w:t>
          </w:r>
        </w:sdtContent>
      </w:sdt>
      <w:r w:rsidR="002C12A7" w:rsidRPr="002C12A7">
        <w:rPr>
          <w:color w:val="404040" w:themeColor="text1" w:themeTint="BF"/>
        </w:rPr>
        <w:t xml:space="preserve"> </w:t>
      </w:r>
      <w:r w:rsidR="006664C5">
        <w:rPr>
          <w:color w:val="404040" w:themeColor="text1" w:themeTint="BF"/>
        </w:rPr>
        <w:tab/>
      </w:r>
      <w:r w:rsidR="002C12A7" w:rsidRPr="002C12A7">
        <w:rPr>
          <w:color w:val="404040" w:themeColor="text1" w:themeTint="BF"/>
        </w:rPr>
        <w:t xml:space="preserve">Zugelassener oder zertifizierter Gutachter, dessen Zertifikat von einer akkreditierten Prüf- und Überwachungsstelle oder einer staatlichen Zulassungsstelle überprüft wird. </w:t>
      </w:r>
    </w:p>
    <w:p w:rsidR="002C12A7" w:rsidRPr="002C12A7" w:rsidRDefault="002D27C2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sdt>
        <w:sdtPr>
          <w:rPr>
            <w:color w:val="404040" w:themeColor="text1" w:themeTint="BF"/>
          </w:rPr>
          <w:id w:val="30798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2A7">
            <w:rPr>
              <w:rFonts w:ascii="MS Gothic" w:eastAsia="MS Gothic" w:hAnsi="MS Gothic" w:hint="eastAsia"/>
              <w:color w:val="404040" w:themeColor="text1" w:themeTint="BF"/>
            </w:rPr>
            <w:t>☐</w:t>
          </w:r>
        </w:sdtContent>
      </w:sdt>
      <w:r w:rsidR="002C12A7" w:rsidRPr="002C12A7">
        <w:rPr>
          <w:color w:val="404040" w:themeColor="text1" w:themeTint="BF"/>
        </w:rPr>
        <w:t xml:space="preserve"> </w:t>
      </w:r>
      <w:r w:rsidR="006664C5">
        <w:rPr>
          <w:color w:val="404040" w:themeColor="text1" w:themeTint="BF"/>
        </w:rPr>
        <w:tab/>
      </w:r>
      <w:r w:rsidR="002C12A7" w:rsidRPr="002C12A7">
        <w:rPr>
          <w:color w:val="404040" w:themeColor="text1" w:themeTint="BF"/>
        </w:rPr>
        <w:t xml:space="preserve">Unabhängiger, staatlich anerkannter Wissenschaftler (z.B. Universitätsprofessor). </w:t>
      </w:r>
    </w:p>
    <w:p w:rsidR="002C12A7" w:rsidRPr="002C12A7" w:rsidRDefault="002D27C2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sdt>
        <w:sdtPr>
          <w:rPr>
            <w:color w:val="404040" w:themeColor="text1" w:themeTint="BF"/>
          </w:rPr>
          <w:id w:val="87119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2A7">
            <w:rPr>
              <w:rFonts w:ascii="MS Gothic" w:eastAsia="MS Gothic" w:hAnsi="MS Gothic" w:hint="eastAsia"/>
              <w:color w:val="404040" w:themeColor="text1" w:themeTint="BF"/>
            </w:rPr>
            <w:t>☐</w:t>
          </w:r>
        </w:sdtContent>
      </w:sdt>
      <w:r w:rsidR="002C12A7" w:rsidRPr="002C12A7">
        <w:rPr>
          <w:color w:val="404040" w:themeColor="text1" w:themeTint="BF"/>
        </w:rPr>
        <w:t xml:space="preserve"> </w:t>
      </w:r>
      <w:r w:rsidR="006664C5">
        <w:rPr>
          <w:color w:val="404040" w:themeColor="text1" w:themeTint="BF"/>
        </w:rPr>
        <w:tab/>
      </w:r>
      <w:r w:rsidR="002C12A7" w:rsidRPr="002C12A7">
        <w:rPr>
          <w:color w:val="404040" w:themeColor="text1" w:themeTint="BF"/>
        </w:rPr>
        <w:t>Allgemein beeideter und gerichtlich</w:t>
      </w:r>
      <w:r w:rsidR="006545B0">
        <w:rPr>
          <w:color w:val="404040" w:themeColor="text1" w:themeTint="BF"/>
        </w:rPr>
        <w:t xml:space="preserve"> zertifizierter Sachverständiger</w:t>
      </w:r>
      <w:r w:rsidR="002C12A7" w:rsidRPr="002C12A7">
        <w:rPr>
          <w:color w:val="404040" w:themeColor="text1" w:themeTint="BF"/>
        </w:rPr>
        <w:t xml:space="preserve">. </w:t>
      </w:r>
    </w:p>
    <w:p w:rsidR="002C12A7" w:rsidRPr="002C12A7" w:rsidRDefault="002D27C2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sdt>
        <w:sdtPr>
          <w:rPr>
            <w:color w:val="404040" w:themeColor="text1" w:themeTint="BF"/>
          </w:rPr>
          <w:id w:val="-100867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2A7">
            <w:rPr>
              <w:rFonts w:ascii="MS Gothic" w:eastAsia="MS Gothic" w:hAnsi="MS Gothic" w:hint="eastAsia"/>
              <w:color w:val="404040" w:themeColor="text1" w:themeTint="BF"/>
            </w:rPr>
            <w:t>☐</w:t>
          </w:r>
        </w:sdtContent>
      </w:sdt>
      <w:r w:rsidR="002C12A7" w:rsidRPr="002C12A7">
        <w:rPr>
          <w:color w:val="404040" w:themeColor="text1" w:themeTint="BF"/>
        </w:rPr>
        <w:t xml:space="preserve"> </w:t>
      </w:r>
      <w:r w:rsidR="006664C5">
        <w:rPr>
          <w:color w:val="404040" w:themeColor="text1" w:themeTint="BF"/>
        </w:rPr>
        <w:tab/>
      </w:r>
      <w:r w:rsidR="002C12A7" w:rsidRPr="002C12A7">
        <w:rPr>
          <w:color w:val="404040" w:themeColor="text1" w:themeTint="BF"/>
        </w:rPr>
        <w:t xml:space="preserve">Ziviltechniker oder ein technisches Büro aus einem einschlägigen Fachgebiet. </w:t>
      </w:r>
    </w:p>
    <w:p w:rsidR="002C12A7" w:rsidRDefault="002D27C2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sdt>
        <w:sdtPr>
          <w:rPr>
            <w:color w:val="404040" w:themeColor="text1" w:themeTint="BF"/>
          </w:rPr>
          <w:id w:val="144881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2A7">
            <w:rPr>
              <w:rFonts w:ascii="MS Gothic" w:eastAsia="MS Gothic" w:hAnsi="MS Gothic" w:hint="eastAsia"/>
              <w:color w:val="404040" w:themeColor="text1" w:themeTint="BF"/>
            </w:rPr>
            <w:t>☐</w:t>
          </w:r>
        </w:sdtContent>
      </w:sdt>
      <w:r w:rsidR="002C12A7" w:rsidRPr="002C12A7">
        <w:rPr>
          <w:color w:val="404040" w:themeColor="text1" w:themeTint="BF"/>
        </w:rPr>
        <w:t xml:space="preserve"> </w:t>
      </w:r>
      <w:r w:rsidR="006664C5">
        <w:rPr>
          <w:color w:val="404040" w:themeColor="text1" w:themeTint="BF"/>
        </w:rPr>
        <w:tab/>
      </w:r>
      <w:r w:rsidR="002C12A7" w:rsidRPr="002C12A7">
        <w:rPr>
          <w:color w:val="404040" w:themeColor="text1" w:themeTint="BF"/>
        </w:rPr>
        <w:t>Gemäß § 17 EEffG für den jeweiligen Bereich qualifizierter und registrierter Energieauditor.</w:t>
      </w:r>
    </w:p>
    <w:p w:rsidR="006664C5" w:rsidRPr="00E15424" w:rsidRDefault="0047367F" w:rsidP="0047367F">
      <w:pPr>
        <w:rPr>
          <w:i/>
          <w:color w:val="808080" w:themeColor="background1" w:themeShade="80"/>
          <w:sz w:val="20"/>
          <w:szCs w:val="20"/>
        </w:rPr>
      </w:pPr>
      <w:r w:rsidRPr="00E15424">
        <w:rPr>
          <w:i/>
          <w:color w:val="808080" w:themeColor="background1" w:themeShade="80"/>
          <w:sz w:val="20"/>
          <w:szCs w:val="20"/>
        </w:rPr>
        <w:lastRenderedPageBreak/>
        <w:t>Bitte beschreiben Sie, in wie fern der Gutachter profunde Kenntnisse in Form von nachweislichen Qualifikationen auf dem Gebiet, für welches das Gutachten erstellt wird, aufweist:</w:t>
      </w:r>
    </w:p>
    <w:p w:rsidR="0047367F" w:rsidRDefault="0047367F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r w:rsidRPr="0047367F">
        <w:rPr>
          <w:color w:val="404040" w:themeColor="text1" w:themeTint="BF"/>
        </w:rPr>
        <w:t>Nachweisliche Qualifikationen des Gutachters: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47367F" w:rsidRPr="00D27DB4" w:rsidRDefault="0047367F" w:rsidP="006664C5">
      <w:pPr>
        <w:tabs>
          <w:tab w:val="left" w:pos="426"/>
        </w:tabs>
        <w:spacing w:after="120" w:line="240" w:lineRule="auto"/>
        <w:rPr>
          <w:color w:val="404040" w:themeColor="text1" w:themeTint="BF"/>
          <w:lang w:val="de-DE"/>
        </w:rPr>
      </w:pPr>
    </w:p>
    <w:p w:rsidR="0047367F" w:rsidRDefault="0047367F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47367F" w:rsidRDefault="0047367F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E15424" w:rsidRPr="00E15424" w:rsidRDefault="00E15424" w:rsidP="00E15424">
      <w:pPr>
        <w:rPr>
          <w:i/>
          <w:color w:val="808080" w:themeColor="background1" w:themeShade="80"/>
          <w:sz w:val="20"/>
          <w:szCs w:val="20"/>
        </w:rPr>
      </w:pPr>
      <w:r w:rsidRPr="00E15424">
        <w:rPr>
          <w:i/>
          <w:color w:val="808080" w:themeColor="background1" w:themeShade="80"/>
          <w:sz w:val="20"/>
          <w:szCs w:val="20"/>
        </w:rPr>
        <w:t>Bitte beschreiben Sie, in wie fern der Gutachter von seinem Auftraggeber sowie von den durch das Gutachten oder die Studie betroffenen Unternehmen weisungsfrei und unabhängig ist:</w:t>
      </w:r>
    </w:p>
    <w:p w:rsidR="00E15424" w:rsidRDefault="00E15424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r w:rsidRPr="00E15424">
        <w:rPr>
          <w:color w:val="404040" w:themeColor="text1" w:themeTint="BF"/>
        </w:rPr>
        <w:t>Weisungsfreiheit und Unabhängigkeit des Gutachters: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E15424" w:rsidRPr="00D27DB4" w:rsidRDefault="00E15424" w:rsidP="006664C5">
      <w:pPr>
        <w:tabs>
          <w:tab w:val="left" w:pos="426"/>
        </w:tabs>
        <w:spacing w:after="120" w:line="240" w:lineRule="auto"/>
        <w:rPr>
          <w:color w:val="404040" w:themeColor="text1" w:themeTint="BF"/>
          <w:lang w:val="de-DE"/>
        </w:rPr>
      </w:pPr>
    </w:p>
    <w:p w:rsidR="00E15424" w:rsidRDefault="00E15424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E15424" w:rsidRDefault="00E15424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615B10" w:rsidRPr="000F4738" w:rsidRDefault="00A67A73" w:rsidP="00615B10">
      <w:pPr>
        <w:rPr>
          <w:b/>
          <w:color w:val="404040" w:themeColor="text1" w:themeTint="BF"/>
          <w:sz w:val="24"/>
          <w:szCs w:val="20"/>
        </w:rPr>
      </w:pPr>
      <w:bookmarkStart w:id="1" w:name="Datenquellen"/>
      <w:r>
        <w:rPr>
          <w:b/>
          <w:color w:val="404040" w:themeColor="text1" w:themeTint="BF"/>
          <w:sz w:val="24"/>
          <w:szCs w:val="20"/>
        </w:rPr>
        <w:t>1</w:t>
      </w:r>
      <w:r w:rsidR="00615B10" w:rsidRPr="000F4738">
        <w:rPr>
          <w:b/>
          <w:color w:val="404040" w:themeColor="text1" w:themeTint="BF"/>
          <w:sz w:val="24"/>
          <w:szCs w:val="20"/>
        </w:rPr>
        <w:t xml:space="preserve">.3 </w:t>
      </w:r>
      <w:r>
        <w:rPr>
          <w:b/>
          <w:color w:val="404040" w:themeColor="text1" w:themeTint="BF"/>
          <w:sz w:val="24"/>
          <w:szCs w:val="20"/>
        </w:rPr>
        <w:t xml:space="preserve"> </w:t>
      </w:r>
      <w:r w:rsidR="00615B10" w:rsidRPr="000F4738">
        <w:rPr>
          <w:b/>
          <w:color w:val="404040" w:themeColor="text1" w:themeTint="BF"/>
          <w:sz w:val="24"/>
          <w:szCs w:val="20"/>
        </w:rPr>
        <w:t>Datenquellen</w:t>
      </w:r>
    </w:p>
    <w:bookmarkEnd w:id="1"/>
    <w:p w:rsidR="00615B10" w:rsidRPr="00615B10" w:rsidRDefault="00615B10" w:rsidP="00615B10">
      <w:pPr>
        <w:pStyle w:val="Default"/>
        <w:rPr>
          <w:rFonts w:asciiTheme="minorHAnsi" w:hAnsiTheme="minorHAnsi" w:cstheme="minorBidi"/>
          <w:i/>
          <w:color w:val="808080" w:themeColor="background1" w:themeShade="80"/>
          <w:sz w:val="20"/>
          <w:szCs w:val="20"/>
        </w:rPr>
      </w:pPr>
      <w:r w:rsidRPr="00615B10">
        <w:rPr>
          <w:rFonts w:asciiTheme="minorHAnsi" w:hAnsiTheme="minorHAnsi" w:cstheme="minorBidi"/>
          <w:i/>
          <w:color w:val="808080" w:themeColor="background1" w:themeShade="80"/>
          <w:sz w:val="20"/>
          <w:szCs w:val="20"/>
        </w:rPr>
        <w:t xml:space="preserve">Bitte beschreiben Sie, welche Datenquellen für die individuelle Bewertung herangezogen wurden. Mindestens eines der folgenden Kriterien muss erfüllt sein. Mehrfachnennung möglich. </w:t>
      </w:r>
    </w:p>
    <w:p w:rsidR="00615B10" w:rsidRDefault="00615B10" w:rsidP="00615B10">
      <w:pPr>
        <w:pStyle w:val="Default"/>
        <w:tabs>
          <w:tab w:val="left" w:pos="426"/>
        </w:tabs>
        <w:rPr>
          <w:rFonts w:ascii="MS Gothic" w:eastAsia="MS Gothic" w:cs="MS Gothic"/>
          <w:sz w:val="20"/>
          <w:szCs w:val="20"/>
        </w:rPr>
      </w:pPr>
    </w:p>
    <w:p w:rsidR="00615B10" w:rsidRPr="00615B10" w:rsidRDefault="002D27C2" w:rsidP="00615B10">
      <w:pPr>
        <w:pStyle w:val="Default"/>
        <w:tabs>
          <w:tab w:val="left" w:pos="426"/>
        </w:tabs>
        <w:spacing w:after="120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sdt>
        <w:sdtPr>
          <w:rPr>
            <w:rFonts w:asciiTheme="minorHAnsi" w:hAnsiTheme="minorHAnsi" w:cstheme="minorBidi"/>
            <w:color w:val="404040" w:themeColor="text1" w:themeTint="BF"/>
            <w:sz w:val="22"/>
            <w:szCs w:val="22"/>
          </w:rPr>
          <w:id w:val="48050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B10">
            <w:rPr>
              <w:rFonts w:ascii="MS Gothic" w:eastAsia="MS Gothic" w:hAnsi="MS Gothic" w:cstheme="minorBidi" w:hint="eastAsia"/>
              <w:color w:val="404040" w:themeColor="text1" w:themeTint="BF"/>
              <w:sz w:val="22"/>
              <w:szCs w:val="22"/>
            </w:rPr>
            <w:t>☐</w:t>
          </w:r>
        </w:sdtContent>
      </w:sdt>
      <w:r w:rsid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ab/>
      </w:r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Energierechnungen </w:t>
      </w:r>
    </w:p>
    <w:p w:rsidR="00615B10" w:rsidRDefault="002D27C2" w:rsidP="00615B10">
      <w:pPr>
        <w:pStyle w:val="Default"/>
        <w:tabs>
          <w:tab w:val="left" w:pos="426"/>
        </w:tabs>
        <w:spacing w:after="120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sdt>
        <w:sdtPr>
          <w:rPr>
            <w:rFonts w:asciiTheme="minorHAnsi" w:hAnsiTheme="minorHAnsi" w:cstheme="minorBidi"/>
            <w:color w:val="404040" w:themeColor="text1" w:themeTint="BF"/>
            <w:sz w:val="22"/>
            <w:szCs w:val="22"/>
          </w:rPr>
          <w:id w:val="-44415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B10">
            <w:rPr>
              <w:rFonts w:ascii="MS Gothic" w:eastAsia="MS Gothic" w:hAnsi="MS Gothic" w:cstheme="minorBidi" w:hint="eastAsia"/>
              <w:color w:val="404040" w:themeColor="text1" w:themeTint="BF"/>
              <w:sz w:val="22"/>
              <w:szCs w:val="22"/>
            </w:rPr>
            <w:t>☐</w:t>
          </w:r>
        </w:sdtContent>
      </w:sdt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ab/>
      </w:r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>Gesetzliche Regelungen od</w:t>
      </w:r>
      <w:r w:rsid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er rechtliche Mindeststandards </w:t>
      </w:r>
    </w:p>
    <w:p w:rsidR="00615B10" w:rsidRPr="00615B10" w:rsidRDefault="002D27C2" w:rsidP="00615B10">
      <w:pPr>
        <w:pStyle w:val="Default"/>
        <w:tabs>
          <w:tab w:val="left" w:pos="426"/>
        </w:tabs>
        <w:spacing w:after="120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sdt>
        <w:sdtPr>
          <w:rPr>
            <w:rFonts w:asciiTheme="minorHAnsi" w:hAnsiTheme="minorHAnsi" w:cstheme="minorBidi"/>
            <w:color w:val="404040" w:themeColor="text1" w:themeTint="BF"/>
            <w:sz w:val="22"/>
            <w:szCs w:val="22"/>
          </w:rPr>
          <w:id w:val="-53095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B10">
            <w:rPr>
              <w:rFonts w:ascii="MS Gothic" w:eastAsia="MS Gothic" w:hAnsi="MS Gothic" w:cstheme="minorBidi" w:hint="eastAsia"/>
              <w:color w:val="404040" w:themeColor="text1" w:themeTint="BF"/>
              <w:sz w:val="22"/>
              <w:szCs w:val="22"/>
            </w:rPr>
            <w:t>☐</w:t>
          </w:r>
        </w:sdtContent>
      </w:sdt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ab/>
      </w:r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Ausgearbeitete Normen sowie darauf basierende Berechnungstools </w:t>
      </w:r>
    </w:p>
    <w:p w:rsidR="00615B10" w:rsidRPr="00615B10" w:rsidRDefault="002D27C2" w:rsidP="00615B10">
      <w:pPr>
        <w:pStyle w:val="Default"/>
        <w:tabs>
          <w:tab w:val="left" w:pos="426"/>
        </w:tabs>
        <w:spacing w:after="120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sdt>
        <w:sdtPr>
          <w:rPr>
            <w:rFonts w:asciiTheme="minorHAnsi" w:hAnsiTheme="minorHAnsi" w:cstheme="minorBidi"/>
            <w:color w:val="404040" w:themeColor="text1" w:themeTint="BF"/>
            <w:sz w:val="22"/>
            <w:szCs w:val="22"/>
          </w:rPr>
          <w:id w:val="-64659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B10">
            <w:rPr>
              <w:rFonts w:ascii="MS Gothic" w:eastAsia="MS Gothic" w:hAnsi="MS Gothic" w:cstheme="minorBidi" w:hint="eastAsia"/>
              <w:color w:val="404040" w:themeColor="text1" w:themeTint="BF"/>
              <w:sz w:val="22"/>
              <w:szCs w:val="22"/>
            </w:rPr>
            <w:t>☐</w:t>
          </w:r>
        </w:sdtContent>
      </w:sdt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ab/>
      </w:r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Gesicherte Herstellerangaben </w:t>
      </w:r>
    </w:p>
    <w:p w:rsidR="00615B10" w:rsidRPr="00615B10" w:rsidRDefault="002D27C2" w:rsidP="00615B10">
      <w:pPr>
        <w:pStyle w:val="Default"/>
        <w:tabs>
          <w:tab w:val="left" w:pos="426"/>
        </w:tabs>
        <w:spacing w:after="120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sdt>
        <w:sdtPr>
          <w:rPr>
            <w:rFonts w:asciiTheme="minorHAnsi" w:hAnsiTheme="minorHAnsi" w:cstheme="minorBidi"/>
            <w:color w:val="404040" w:themeColor="text1" w:themeTint="BF"/>
            <w:sz w:val="22"/>
            <w:szCs w:val="22"/>
          </w:rPr>
          <w:id w:val="-189148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B10">
            <w:rPr>
              <w:rFonts w:ascii="MS Gothic" w:eastAsia="MS Gothic" w:hAnsi="MS Gothic" w:cstheme="minorBidi" w:hint="eastAsia"/>
              <w:color w:val="404040" w:themeColor="text1" w:themeTint="BF"/>
              <w:sz w:val="22"/>
              <w:szCs w:val="22"/>
            </w:rPr>
            <w:t>☐</w:t>
          </w:r>
        </w:sdtContent>
      </w:sdt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ab/>
      </w:r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Repräsentative Messungen </w:t>
      </w:r>
    </w:p>
    <w:p w:rsidR="00615B10" w:rsidRPr="00615B10" w:rsidRDefault="002D27C2" w:rsidP="00615B10">
      <w:pPr>
        <w:pStyle w:val="Default"/>
        <w:tabs>
          <w:tab w:val="left" w:pos="426"/>
        </w:tabs>
        <w:spacing w:after="120"/>
        <w:rPr>
          <w:rFonts w:asciiTheme="minorHAnsi" w:hAnsiTheme="minorHAnsi" w:cstheme="minorBidi"/>
          <w:color w:val="404040" w:themeColor="text1" w:themeTint="BF"/>
          <w:sz w:val="22"/>
          <w:szCs w:val="22"/>
        </w:rPr>
      </w:pPr>
      <w:sdt>
        <w:sdtPr>
          <w:rPr>
            <w:rFonts w:asciiTheme="minorHAnsi" w:hAnsiTheme="minorHAnsi" w:cstheme="minorBidi"/>
            <w:color w:val="404040" w:themeColor="text1" w:themeTint="BF"/>
            <w:sz w:val="22"/>
            <w:szCs w:val="22"/>
          </w:rPr>
          <w:id w:val="179231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B10">
            <w:rPr>
              <w:rFonts w:ascii="MS Gothic" w:eastAsia="MS Gothic" w:hAnsi="MS Gothic" w:cstheme="minorBidi" w:hint="eastAsia"/>
              <w:color w:val="404040" w:themeColor="text1" w:themeTint="BF"/>
              <w:sz w:val="22"/>
              <w:szCs w:val="22"/>
            </w:rPr>
            <w:t>☐</w:t>
          </w:r>
        </w:sdtContent>
      </w:sdt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 </w:t>
      </w:r>
      <w:r w:rsid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ab/>
      </w:r>
      <w:r w:rsidR="00615B10" w:rsidRPr="00615B10">
        <w:rPr>
          <w:rFonts w:asciiTheme="minorHAnsi" w:hAnsiTheme="minorHAnsi" w:cstheme="minorBidi"/>
          <w:color w:val="404040" w:themeColor="text1" w:themeTint="BF"/>
          <w:sz w:val="22"/>
          <w:szCs w:val="22"/>
        </w:rPr>
        <w:t xml:space="preserve">Wissenschaftliche Studien und Gutachten </w:t>
      </w:r>
    </w:p>
    <w:p w:rsidR="00615B10" w:rsidRPr="00615B10" w:rsidRDefault="002D27C2" w:rsidP="00615B10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sdt>
        <w:sdtPr>
          <w:rPr>
            <w:color w:val="404040" w:themeColor="text1" w:themeTint="BF"/>
          </w:rPr>
          <w:id w:val="160121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B10">
            <w:rPr>
              <w:rFonts w:ascii="MS Gothic" w:eastAsia="MS Gothic" w:hAnsi="MS Gothic" w:hint="eastAsia"/>
              <w:color w:val="404040" w:themeColor="text1" w:themeTint="BF"/>
            </w:rPr>
            <w:t>☐</w:t>
          </w:r>
        </w:sdtContent>
      </w:sdt>
      <w:r w:rsidR="00615B10" w:rsidRPr="00615B10">
        <w:rPr>
          <w:color w:val="404040" w:themeColor="text1" w:themeTint="BF"/>
        </w:rPr>
        <w:t xml:space="preserve"> </w:t>
      </w:r>
      <w:r w:rsidR="00615B10">
        <w:rPr>
          <w:color w:val="404040" w:themeColor="text1" w:themeTint="BF"/>
        </w:rPr>
        <w:tab/>
      </w:r>
      <w:r w:rsidR="00615B10" w:rsidRPr="00615B10">
        <w:rPr>
          <w:color w:val="404040" w:themeColor="text1" w:themeTint="BF"/>
        </w:rPr>
        <w:t>Repräsentative Statistiken und Datenbanken</w:t>
      </w:r>
    </w:p>
    <w:p w:rsidR="00615B10" w:rsidRDefault="00615B10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093767" w:rsidRPr="00093767" w:rsidRDefault="00093767" w:rsidP="006664C5">
      <w:pPr>
        <w:tabs>
          <w:tab w:val="left" w:pos="426"/>
        </w:tabs>
        <w:spacing w:after="120" w:line="240" w:lineRule="auto"/>
        <w:rPr>
          <w:i/>
          <w:color w:val="808080" w:themeColor="background1" w:themeShade="80"/>
          <w:sz w:val="20"/>
          <w:szCs w:val="20"/>
        </w:rPr>
      </w:pPr>
      <w:r w:rsidRPr="00093767">
        <w:rPr>
          <w:i/>
          <w:color w:val="808080" w:themeColor="background1" w:themeShade="80"/>
          <w:sz w:val="20"/>
          <w:szCs w:val="20"/>
        </w:rPr>
        <w:t>Bitte beschreiben Sie für jeden verwendeten Rechenwert die Datenquellen (Herkunft, Aktualität,…):</w:t>
      </w:r>
    </w:p>
    <w:p w:rsidR="00093767" w:rsidRDefault="00093767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r w:rsidRPr="00093767">
        <w:rPr>
          <w:color w:val="404040" w:themeColor="text1" w:themeTint="BF"/>
        </w:rPr>
        <w:t>Datenquellen je Rechenwert: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093767" w:rsidRPr="00D27DB4" w:rsidRDefault="00093767" w:rsidP="006664C5">
      <w:pPr>
        <w:tabs>
          <w:tab w:val="left" w:pos="426"/>
        </w:tabs>
        <w:spacing w:after="120" w:line="240" w:lineRule="auto"/>
        <w:rPr>
          <w:color w:val="404040" w:themeColor="text1" w:themeTint="BF"/>
          <w:lang w:val="de-DE"/>
        </w:rPr>
      </w:pPr>
    </w:p>
    <w:p w:rsidR="00093767" w:rsidRDefault="00093767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093767" w:rsidRDefault="00093767" w:rsidP="006664C5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0E7285" w:rsidRDefault="000E7285" w:rsidP="005364A8">
      <w:pPr>
        <w:rPr>
          <w:b/>
          <w:color w:val="404040" w:themeColor="text1" w:themeTint="BF"/>
          <w:sz w:val="24"/>
          <w:szCs w:val="20"/>
        </w:rPr>
      </w:pPr>
    </w:p>
    <w:p w:rsidR="000E7285" w:rsidRDefault="000E7285" w:rsidP="005364A8">
      <w:pPr>
        <w:rPr>
          <w:b/>
          <w:color w:val="404040" w:themeColor="text1" w:themeTint="BF"/>
          <w:sz w:val="24"/>
          <w:szCs w:val="20"/>
        </w:rPr>
      </w:pPr>
    </w:p>
    <w:p w:rsidR="000E7285" w:rsidRDefault="000E7285" w:rsidP="005364A8">
      <w:pPr>
        <w:rPr>
          <w:b/>
          <w:color w:val="404040" w:themeColor="text1" w:themeTint="BF"/>
          <w:sz w:val="24"/>
          <w:szCs w:val="20"/>
        </w:rPr>
      </w:pPr>
    </w:p>
    <w:p w:rsidR="005364A8" w:rsidRPr="000F4738" w:rsidRDefault="00A67A73" w:rsidP="005364A8">
      <w:pPr>
        <w:rPr>
          <w:b/>
          <w:color w:val="404040" w:themeColor="text1" w:themeTint="BF"/>
          <w:sz w:val="24"/>
          <w:szCs w:val="20"/>
        </w:rPr>
      </w:pPr>
      <w:r>
        <w:rPr>
          <w:b/>
          <w:color w:val="404040" w:themeColor="text1" w:themeTint="BF"/>
          <w:sz w:val="24"/>
          <w:szCs w:val="20"/>
        </w:rPr>
        <w:lastRenderedPageBreak/>
        <w:t>1</w:t>
      </w:r>
      <w:r w:rsidR="005364A8" w:rsidRPr="000F4738">
        <w:rPr>
          <w:b/>
          <w:color w:val="404040" w:themeColor="text1" w:themeTint="BF"/>
          <w:sz w:val="24"/>
          <w:szCs w:val="20"/>
        </w:rPr>
        <w:t>.</w:t>
      </w:r>
      <w:r w:rsidR="00C02449" w:rsidRPr="000F4738">
        <w:rPr>
          <w:b/>
          <w:color w:val="404040" w:themeColor="text1" w:themeTint="BF"/>
          <w:sz w:val="24"/>
          <w:szCs w:val="20"/>
        </w:rPr>
        <w:t>4</w:t>
      </w:r>
      <w:r w:rsidR="005364A8" w:rsidRPr="000F4738">
        <w:rPr>
          <w:b/>
          <w:color w:val="404040" w:themeColor="text1" w:themeTint="BF"/>
          <w:sz w:val="24"/>
          <w:szCs w:val="20"/>
        </w:rPr>
        <w:t xml:space="preserve"> </w:t>
      </w:r>
      <w:r>
        <w:rPr>
          <w:b/>
          <w:color w:val="404040" w:themeColor="text1" w:themeTint="BF"/>
          <w:sz w:val="24"/>
          <w:szCs w:val="20"/>
        </w:rPr>
        <w:t xml:space="preserve"> </w:t>
      </w:r>
      <w:r w:rsidR="005364A8" w:rsidRPr="000F4738">
        <w:rPr>
          <w:b/>
          <w:color w:val="404040" w:themeColor="text1" w:themeTint="BF"/>
          <w:sz w:val="24"/>
          <w:szCs w:val="20"/>
        </w:rPr>
        <w:t>Maßnahmengröße</w:t>
      </w:r>
    </w:p>
    <w:p w:rsidR="005364A8" w:rsidRPr="005364A8" w:rsidRDefault="005364A8" w:rsidP="005364A8">
      <w:pPr>
        <w:tabs>
          <w:tab w:val="left" w:pos="426"/>
        </w:tabs>
        <w:spacing w:after="120" w:line="240" w:lineRule="auto"/>
        <w:rPr>
          <w:i/>
          <w:color w:val="808080" w:themeColor="background1" w:themeShade="80"/>
          <w:sz w:val="20"/>
          <w:szCs w:val="20"/>
        </w:rPr>
      </w:pPr>
      <w:r w:rsidRPr="005364A8">
        <w:rPr>
          <w:i/>
          <w:color w:val="808080" w:themeColor="background1" w:themeShade="80"/>
          <w:sz w:val="20"/>
          <w:szCs w:val="20"/>
        </w:rPr>
        <w:t>Die bewertete Energieeffizienzmaßnahme weist Energieeinsparungen von mehr als 15 MWh auf. (N.B: Für die Bestimmung des 15 MWh-Schwellenwertes sind idente Energieeffizienzmaßnahmen eines Maßnahmensetzers innerhalb eines Verpflichtungszeitraumes zusammenzurechnen!)</w:t>
      </w:r>
    </w:p>
    <w:p w:rsidR="005364A8" w:rsidRPr="005364A8" w:rsidRDefault="002D27C2" w:rsidP="005364A8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  <w:sdt>
        <w:sdtPr>
          <w:rPr>
            <w:color w:val="404040" w:themeColor="text1" w:themeTint="BF"/>
          </w:rPr>
          <w:id w:val="-54645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4A8">
            <w:rPr>
              <w:rFonts w:ascii="MS Gothic" w:eastAsia="MS Gothic" w:hAnsi="MS Gothic" w:hint="eastAsia"/>
              <w:color w:val="404040" w:themeColor="text1" w:themeTint="BF"/>
            </w:rPr>
            <w:t>☐</w:t>
          </w:r>
        </w:sdtContent>
      </w:sdt>
      <w:r w:rsidR="005364A8">
        <w:rPr>
          <w:color w:val="404040" w:themeColor="text1" w:themeTint="BF"/>
        </w:rPr>
        <w:t xml:space="preserve"> Ja </w:t>
      </w:r>
      <w:r w:rsidR="005364A8">
        <w:rPr>
          <w:color w:val="404040" w:themeColor="text1" w:themeTint="BF"/>
        </w:rPr>
        <w:sym w:font="Wingdings 3" w:char="F0D2"/>
      </w:r>
      <w:r w:rsidR="005364A8" w:rsidRPr="005364A8">
        <w:rPr>
          <w:color w:val="404040" w:themeColor="text1" w:themeTint="BF"/>
        </w:rPr>
        <w:t xml:space="preserve"> Sämtliche in den folgenden Kapiteln angeführten Anforderungen sind zu erfüllen.</w:t>
      </w:r>
    </w:p>
    <w:p w:rsidR="00093767" w:rsidRDefault="002D27C2" w:rsidP="000E7285">
      <w:pPr>
        <w:tabs>
          <w:tab w:val="left" w:pos="284"/>
        </w:tabs>
        <w:spacing w:after="120" w:line="240" w:lineRule="auto"/>
        <w:rPr>
          <w:color w:val="404040" w:themeColor="text1" w:themeTint="BF"/>
        </w:rPr>
      </w:pPr>
      <w:sdt>
        <w:sdtPr>
          <w:rPr>
            <w:color w:val="404040" w:themeColor="text1" w:themeTint="BF"/>
          </w:rPr>
          <w:id w:val="-168991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4A8">
            <w:rPr>
              <w:rFonts w:ascii="MS Gothic" w:eastAsia="MS Gothic" w:hAnsi="MS Gothic" w:hint="eastAsia"/>
              <w:color w:val="404040" w:themeColor="text1" w:themeTint="BF"/>
            </w:rPr>
            <w:t>☐</w:t>
          </w:r>
        </w:sdtContent>
      </w:sdt>
      <w:r w:rsidR="005364A8">
        <w:rPr>
          <w:color w:val="404040" w:themeColor="text1" w:themeTint="BF"/>
        </w:rPr>
        <w:t xml:space="preserve"> Nein </w:t>
      </w:r>
      <w:r w:rsidR="005364A8">
        <w:rPr>
          <w:color w:val="404040" w:themeColor="text1" w:themeTint="BF"/>
        </w:rPr>
        <w:sym w:font="Wingdings 3" w:char="F0D2"/>
      </w:r>
      <w:r w:rsidR="005364A8" w:rsidRPr="005364A8">
        <w:rPr>
          <w:color w:val="404040" w:themeColor="text1" w:themeTint="BF"/>
        </w:rPr>
        <w:t xml:space="preserve"> Die in den folgenden Kapiteln gelb hinterlegten Anforderungen sind nicht zu erfüllen. Alle </w:t>
      </w:r>
      <w:r w:rsidR="000E7285">
        <w:rPr>
          <w:color w:val="404040" w:themeColor="text1" w:themeTint="BF"/>
        </w:rPr>
        <w:br/>
      </w:r>
      <w:r w:rsidR="000E7285">
        <w:rPr>
          <w:color w:val="404040" w:themeColor="text1" w:themeTint="BF"/>
        </w:rPr>
        <w:tab/>
      </w:r>
      <w:r w:rsidR="005364A8" w:rsidRPr="005364A8">
        <w:rPr>
          <w:color w:val="404040" w:themeColor="text1" w:themeTint="BF"/>
        </w:rPr>
        <w:t>anderen Anforderungen sind zu erfüllen.</w:t>
      </w:r>
    </w:p>
    <w:p w:rsidR="00C02449" w:rsidRDefault="00C02449" w:rsidP="005364A8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C02449" w:rsidRDefault="00C02449" w:rsidP="005364A8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C02449" w:rsidRPr="000F4738" w:rsidRDefault="00A67A73" w:rsidP="00B70EEA">
      <w:pPr>
        <w:pStyle w:val="berschriftcalibri12"/>
      </w:pPr>
      <w:bookmarkStart w:id="2" w:name="Messungen"/>
      <w:r>
        <w:t>1.</w:t>
      </w:r>
      <w:r w:rsidR="00C02449" w:rsidRPr="000F4738">
        <w:t xml:space="preserve">5 </w:t>
      </w:r>
      <w:r>
        <w:t xml:space="preserve"> </w:t>
      </w:r>
      <w:r w:rsidR="00C02449" w:rsidRPr="000F4738">
        <w:t>Messungen</w:t>
      </w:r>
    </w:p>
    <w:bookmarkEnd w:id="2"/>
    <w:p w:rsidR="000E7285" w:rsidRPr="000E7285" w:rsidRDefault="000E7285" w:rsidP="000E7285">
      <w:pPr>
        <w:pStyle w:val="Standardtext"/>
        <w:rPr>
          <w:sz w:val="22"/>
          <w:lang w:val="de-DE"/>
        </w:rPr>
      </w:pPr>
      <w:r w:rsidRPr="000E7285">
        <w:rPr>
          <w:sz w:val="22"/>
          <w:lang w:val="de-DE"/>
        </w:rPr>
        <w:t>Sofern Messungen durchgeführt wurden (siehe m</w:t>
      </w:r>
      <w:r w:rsidR="00D50FF8">
        <w:rPr>
          <w:sz w:val="22"/>
          <w:lang w:val="de-DE"/>
        </w:rPr>
        <w:t xml:space="preserve">ögliche Datenquellen in Kapitel </w:t>
      </w:r>
      <w:hyperlink w:anchor="Datenquellen" w:history="1">
        <w:r w:rsidR="00D50FF8" w:rsidRPr="00D50FF8">
          <w:rPr>
            <w:rStyle w:val="Hyperlink"/>
            <w:sz w:val="22"/>
            <w:lang w:val="de-DE"/>
          </w:rPr>
          <w:t>1.3</w:t>
        </w:r>
      </w:hyperlink>
      <w:r w:rsidR="00D50FF8">
        <w:rPr>
          <w:sz w:val="22"/>
          <w:lang w:val="de-DE"/>
        </w:rPr>
        <w:t xml:space="preserve">) </w:t>
      </w:r>
      <w:r w:rsidRPr="000E7285">
        <w:rPr>
          <w:sz w:val="22"/>
          <w:lang w:val="de-DE"/>
        </w:rPr>
        <w:t>müssen diese Messungen von Energieeinsparungen und Energieverbrauchswerten bei der individuellen Bewertung folgende Kriterien erfüllen:</w:t>
      </w:r>
    </w:p>
    <w:p w:rsidR="000E7285" w:rsidRPr="00633449" w:rsidRDefault="000E7285" w:rsidP="000E7285">
      <w:pPr>
        <w:pStyle w:val="Standardtext"/>
        <w:numPr>
          <w:ilvl w:val="0"/>
          <w:numId w:val="7"/>
        </w:numPr>
        <w:rPr>
          <w:sz w:val="22"/>
          <w:highlight w:val="yellow"/>
          <w:lang w:val="de-DE"/>
        </w:rPr>
      </w:pPr>
      <w:r w:rsidRPr="00633449">
        <w:rPr>
          <w:sz w:val="22"/>
          <w:highlight w:val="yellow"/>
          <w:lang w:val="de-DE"/>
        </w:rPr>
        <w:t>die Messungen müssen nachvollziehbar sein;</w:t>
      </w:r>
    </w:p>
    <w:p w:rsidR="000E7285" w:rsidRPr="00633449" w:rsidRDefault="000E7285" w:rsidP="000E7285">
      <w:pPr>
        <w:pStyle w:val="Standardtext"/>
        <w:numPr>
          <w:ilvl w:val="0"/>
          <w:numId w:val="7"/>
        </w:numPr>
        <w:rPr>
          <w:sz w:val="22"/>
          <w:highlight w:val="yellow"/>
          <w:lang w:val="de-DE"/>
        </w:rPr>
      </w:pPr>
      <w:r w:rsidRPr="00633449">
        <w:rPr>
          <w:sz w:val="22"/>
          <w:highlight w:val="yellow"/>
          <w:lang w:val="de-DE"/>
        </w:rPr>
        <w:t>die Messanordnung muss den Regeln der Technik entsprechen und so weit wie möglich existierende anerkannte Normen anwenden;</w:t>
      </w:r>
    </w:p>
    <w:p w:rsidR="000E7285" w:rsidRPr="00633449" w:rsidRDefault="000E7285" w:rsidP="000E7285">
      <w:pPr>
        <w:pStyle w:val="Standardtext"/>
        <w:numPr>
          <w:ilvl w:val="0"/>
          <w:numId w:val="7"/>
        </w:numPr>
        <w:rPr>
          <w:sz w:val="22"/>
          <w:highlight w:val="yellow"/>
          <w:lang w:val="de-DE"/>
        </w:rPr>
      </w:pPr>
      <w:r w:rsidRPr="00633449">
        <w:rPr>
          <w:sz w:val="22"/>
          <w:highlight w:val="yellow"/>
          <w:lang w:val="de-DE"/>
        </w:rPr>
        <w:t>die gewählten Messmethoden müssen repräsentative Ergebnisse gewährleisten;</w:t>
      </w:r>
    </w:p>
    <w:p w:rsidR="000E7285" w:rsidRPr="00633449" w:rsidRDefault="000E7285" w:rsidP="000E7285">
      <w:pPr>
        <w:pStyle w:val="Standardtext"/>
        <w:numPr>
          <w:ilvl w:val="0"/>
          <w:numId w:val="7"/>
        </w:numPr>
        <w:rPr>
          <w:sz w:val="22"/>
          <w:highlight w:val="yellow"/>
          <w:lang w:val="de-DE"/>
        </w:rPr>
      </w:pPr>
      <w:r w:rsidRPr="00633449">
        <w:rPr>
          <w:sz w:val="22"/>
          <w:highlight w:val="yellow"/>
          <w:lang w:val="de-DE"/>
        </w:rPr>
        <w:t>der Zeitraum der Messung muss, soweit dies technisch und wirtschaftlich zumutbar ist, alle Betriebszustände des betrachteten Endenergieverbrauchers repräsentieren;</w:t>
      </w:r>
    </w:p>
    <w:p w:rsidR="000E7285" w:rsidRPr="00633449" w:rsidRDefault="000E7285" w:rsidP="000E7285">
      <w:pPr>
        <w:pStyle w:val="Standardtext"/>
        <w:numPr>
          <w:ilvl w:val="0"/>
          <w:numId w:val="7"/>
        </w:numPr>
        <w:rPr>
          <w:sz w:val="22"/>
          <w:highlight w:val="yellow"/>
          <w:lang w:val="de-DE"/>
        </w:rPr>
      </w:pPr>
      <w:r w:rsidRPr="00633449">
        <w:rPr>
          <w:sz w:val="22"/>
          <w:highlight w:val="yellow"/>
          <w:lang w:val="de-DE"/>
        </w:rPr>
        <w:t>die Messung des Endenergieverbrauches vor Umsetzung der Energieeffizienzmaßnahme muss den Zustand bei Setzung der Energieeffizienzmaßnahme widerspiegeln.</w:t>
      </w:r>
    </w:p>
    <w:p w:rsidR="00875B41" w:rsidRPr="000E7285" w:rsidRDefault="00875B41" w:rsidP="00875B41">
      <w:pPr>
        <w:pStyle w:val="Default"/>
        <w:rPr>
          <w:sz w:val="20"/>
          <w:szCs w:val="20"/>
          <w:lang w:val="de-DE"/>
        </w:rPr>
      </w:pPr>
    </w:p>
    <w:p w:rsidR="00C02449" w:rsidRDefault="00875B41" w:rsidP="00875B41">
      <w:pPr>
        <w:tabs>
          <w:tab w:val="left" w:pos="426"/>
        </w:tabs>
        <w:spacing w:after="120" w:line="240" w:lineRule="auto"/>
        <w:rPr>
          <w:i/>
          <w:color w:val="808080" w:themeColor="background1" w:themeShade="80"/>
          <w:sz w:val="20"/>
          <w:szCs w:val="20"/>
        </w:rPr>
      </w:pPr>
      <w:r w:rsidRPr="00633449">
        <w:rPr>
          <w:i/>
          <w:color w:val="808080" w:themeColor="background1" w:themeShade="80"/>
          <w:sz w:val="20"/>
          <w:szCs w:val="20"/>
          <w:highlight w:val="yellow"/>
        </w:rPr>
        <w:t>Bitte beschreiben Sie, wie die obigen Kriterien für Messungen erfüllt wurden:</w:t>
      </w:r>
    </w:p>
    <w:p w:rsidR="000F4738" w:rsidRPr="000F4738" w:rsidRDefault="000F4738" w:rsidP="000F4738">
      <w:pPr>
        <w:tabs>
          <w:tab w:val="left" w:pos="426"/>
        </w:tabs>
        <w:spacing w:after="120" w:line="240" w:lineRule="auto"/>
        <w:ind w:left="420" w:hanging="420"/>
        <w:rPr>
          <w:color w:val="404040" w:themeColor="text1" w:themeTint="BF"/>
        </w:rPr>
      </w:pPr>
      <w:r>
        <w:rPr>
          <w:color w:val="404040" w:themeColor="text1" w:themeTint="BF"/>
        </w:rPr>
        <w:t>Messung: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bookmarkStart w:id="3" w:name="_GoBack"/>
      <w:r>
        <w:rPr>
          <w:noProof/>
          <w:color w:val="404040" w:themeColor="text1" w:themeTint="BF"/>
        </w:rPr>
        <w:t>Bitte geben Sie hier Ihren Text ein</w:t>
      </w:r>
      <w:bookmarkEnd w:id="3"/>
      <w:r>
        <w:rPr>
          <w:color w:val="404040" w:themeColor="text1" w:themeTint="BF"/>
        </w:rPr>
        <w:fldChar w:fldCharType="end"/>
      </w:r>
    </w:p>
    <w:p w:rsidR="00875B41" w:rsidRPr="00D27DB4" w:rsidRDefault="00875B41" w:rsidP="00875B41">
      <w:pPr>
        <w:tabs>
          <w:tab w:val="left" w:pos="426"/>
        </w:tabs>
        <w:spacing w:after="120" w:line="240" w:lineRule="auto"/>
        <w:rPr>
          <w:color w:val="404040" w:themeColor="text1" w:themeTint="BF"/>
          <w:lang w:val="de-DE"/>
        </w:rPr>
      </w:pPr>
    </w:p>
    <w:p w:rsidR="00875B41" w:rsidRDefault="00875B41" w:rsidP="00875B41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875B41" w:rsidRDefault="00875B41" w:rsidP="00875B41">
      <w:pPr>
        <w:tabs>
          <w:tab w:val="left" w:pos="426"/>
        </w:tabs>
        <w:spacing w:after="120" w:line="240" w:lineRule="auto"/>
        <w:rPr>
          <w:color w:val="404040" w:themeColor="text1" w:themeTint="BF"/>
        </w:rPr>
      </w:pPr>
    </w:p>
    <w:p w:rsidR="00875B41" w:rsidRPr="000F4738" w:rsidRDefault="00A67A73" w:rsidP="000F4738">
      <w:pPr>
        <w:rPr>
          <w:b/>
          <w:color w:val="404040" w:themeColor="text1" w:themeTint="BF"/>
          <w:sz w:val="24"/>
          <w:szCs w:val="20"/>
        </w:rPr>
      </w:pPr>
      <w:r>
        <w:rPr>
          <w:b/>
          <w:color w:val="404040" w:themeColor="text1" w:themeTint="BF"/>
          <w:sz w:val="24"/>
          <w:szCs w:val="20"/>
        </w:rPr>
        <w:t>1.</w:t>
      </w:r>
      <w:r w:rsidR="000F4738" w:rsidRPr="000F4738">
        <w:rPr>
          <w:b/>
          <w:color w:val="404040" w:themeColor="text1" w:themeTint="BF"/>
          <w:sz w:val="24"/>
          <w:szCs w:val="20"/>
        </w:rPr>
        <w:t xml:space="preserve">6 </w:t>
      </w:r>
      <w:r>
        <w:rPr>
          <w:b/>
          <w:color w:val="404040" w:themeColor="text1" w:themeTint="BF"/>
          <w:sz w:val="24"/>
          <w:szCs w:val="20"/>
        </w:rPr>
        <w:t xml:space="preserve"> </w:t>
      </w:r>
      <w:r w:rsidR="000F4738" w:rsidRPr="000F4738">
        <w:rPr>
          <w:b/>
          <w:color w:val="404040" w:themeColor="text1" w:themeTint="BF"/>
          <w:sz w:val="24"/>
          <w:szCs w:val="20"/>
        </w:rPr>
        <w:t>Berechnung der Einsparungen</w:t>
      </w:r>
    </w:p>
    <w:p w:rsidR="000F4738" w:rsidRPr="000F4738" w:rsidRDefault="00A67A73" w:rsidP="000F4738">
      <w:pPr>
        <w:rPr>
          <w:b/>
          <w:color w:val="404040" w:themeColor="text1" w:themeTint="BF"/>
          <w:szCs w:val="20"/>
        </w:rPr>
      </w:pPr>
      <w:r>
        <w:rPr>
          <w:b/>
          <w:color w:val="404040" w:themeColor="text1" w:themeTint="BF"/>
          <w:szCs w:val="20"/>
        </w:rPr>
        <w:t>1</w:t>
      </w:r>
      <w:r w:rsidR="000F4738" w:rsidRPr="000F4738">
        <w:rPr>
          <w:b/>
          <w:color w:val="404040" w:themeColor="text1" w:themeTint="BF"/>
          <w:szCs w:val="20"/>
        </w:rPr>
        <w:t>.6.1 Baseline und Energieverbrauch nach Setzen der Energieeffizienzmaßnahme</w:t>
      </w:r>
    </w:p>
    <w:p w:rsidR="000E7285" w:rsidRPr="000E7285" w:rsidRDefault="000E7285" w:rsidP="000E7285">
      <w:pPr>
        <w:tabs>
          <w:tab w:val="left" w:pos="426"/>
        </w:tabs>
        <w:spacing w:after="120" w:line="240" w:lineRule="auto"/>
        <w:rPr>
          <w:i/>
          <w:color w:val="808080" w:themeColor="background1" w:themeShade="80"/>
          <w:sz w:val="20"/>
          <w:szCs w:val="20"/>
        </w:rPr>
      </w:pPr>
      <w:r w:rsidRPr="000E7285">
        <w:rPr>
          <w:i/>
          <w:color w:val="808080" w:themeColor="background1" w:themeShade="80"/>
          <w:sz w:val="20"/>
          <w:szCs w:val="20"/>
        </w:rPr>
        <w:t xml:space="preserve">Bitte beschreiben Sie, wie die normierte und </w:t>
      </w:r>
      <w:r w:rsidRPr="00633449">
        <w:rPr>
          <w:i/>
          <w:color w:val="808080" w:themeColor="background1" w:themeShade="80"/>
          <w:sz w:val="20"/>
          <w:szCs w:val="20"/>
          <w:highlight w:val="yellow"/>
        </w:rPr>
        <w:t>normalisierte</w:t>
      </w:r>
      <w:r w:rsidRPr="000E7285">
        <w:rPr>
          <w:i/>
          <w:color w:val="808080" w:themeColor="background1" w:themeShade="80"/>
          <w:sz w:val="20"/>
          <w:szCs w:val="20"/>
        </w:rPr>
        <w:t xml:space="preserve"> Baseline für die Bewertung der Maßnahme bestimmt wurde. Beachten Sie die Anforderungen gemäß §4 (1), (2) und (4) der RL-VO. Abweichend von diesen Anforderungen kann die Berechnung der Baseline für eine individuelle Bewertung auf Basis von Ist-Werten erfolgen. </w:t>
      </w:r>
    </w:p>
    <w:p w:rsidR="000F4738" w:rsidRDefault="000E7285" w:rsidP="000E7285">
      <w:pPr>
        <w:spacing w:line="240" w:lineRule="auto"/>
        <w:rPr>
          <w:b/>
          <w:color w:val="404040" w:themeColor="text1" w:themeTint="BF"/>
          <w:szCs w:val="20"/>
          <w:lang w:val="de-DE"/>
        </w:rPr>
      </w:pPr>
      <w:r>
        <w:rPr>
          <w:b/>
          <w:color w:val="404040" w:themeColor="text1" w:themeTint="BF"/>
          <w:szCs w:val="20"/>
          <w:lang w:val="de-DE"/>
        </w:rPr>
        <w:t xml:space="preserve">Baseline: 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0E7285" w:rsidRDefault="000E7285" w:rsidP="000E7285">
      <w:pPr>
        <w:spacing w:line="240" w:lineRule="auto"/>
        <w:rPr>
          <w:b/>
          <w:color w:val="404040" w:themeColor="text1" w:themeTint="BF"/>
          <w:szCs w:val="20"/>
          <w:lang w:val="de-DE"/>
        </w:rPr>
      </w:pPr>
    </w:p>
    <w:p w:rsidR="000E7285" w:rsidRPr="000E7285" w:rsidRDefault="000E7285" w:rsidP="000E7285">
      <w:pPr>
        <w:pStyle w:val="Flietext"/>
        <w:rPr>
          <w:rFonts w:asciiTheme="minorHAnsi" w:hAnsiTheme="minorHAnsi"/>
          <w:i/>
          <w:color w:val="808080" w:themeColor="background1" w:themeShade="80"/>
          <w:szCs w:val="20"/>
        </w:rPr>
      </w:pPr>
      <w:r w:rsidRPr="000E7285">
        <w:rPr>
          <w:rFonts w:asciiTheme="minorHAnsi" w:hAnsiTheme="minorHAnsi"/>
          <w:i/>
          <w:color w:val="808080" w:themeColor="background1" w:themeShade="80"/>
          <w:szCs w:val="20"/>
        </w:rPr>
        <w:lastRenderedPageBreak/>
        <w:t xml:space="preserve">Bitte beschreiben Sie, wie den normierten und </w:t>
      </w:r>
      <w:r w:rsidRPr="00633449">
        <w:rPr>
          <w:rFonts w:asciiTheme="minorHAnsi" w:hAnsiTheme="minorHAnsi"/>
          <w:i/>
          <w:color w:val="808080" w:themeColor="background1" w:themeShade="80"/>
          <w:szCs w:val="20"/>
          <w:highlight w:val="yellow"/>
        </w:rPr>
        <w:t>normalisierten</w:t>
      </w:r>
      <w:r w:rsidRPr="000E7285">
        <w:rPr>
          <w:rFonts w:asciiTheme="minorHAnsi" w:hAnsiTheme="minorHAnsi"/>
          <w:i/>
          <w:color w:val="808080" w:themeColor="background1" w:themeShade="80"/>
          <w:szCs w:val="20"/>
        </w:rPr>
        <w:t xml:space="preserve"> Energieverbrauch nach Setzen der Energieeffizienzmaßnahme bestimmt wurde. Beachten Sie die Anforderung gemäß §4 (3) und (4) der RL-VO.</w:t>
      </w:r>
    </w:p>
    <w:p w:rsidR="000E7285" w:rsidRPr="000E7285" w:rsidRDefault="000E7285" w:rsidP="000E7285">
      <w:pPr>
        <w:spacing w:line="240" w:lineRule="auto"/>
        <w:rPr>
          <w:color w:val="404040" w:themeColor="text1" w:themeTint="BF"/>
        </w:rPr>
      </w:pPr>
      <w:r w:rsidRPr="000E7285">
        <w:rPr>
          <w:color w:val="404040" w:themeColor="text1" w:themeTint="BF"/>
        </w:rPr>
        <w:t>Energieverbrauch nach Setzen der Energieeffizienzmaßnahme: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0E7285" w:rsidRPr="00D27DB4" w:rsidRDefault="000E7285" w:rsidP="000E7285">
      <w:pPr>
        <w:spacing w:line="240" w:lineRule="auto"/>
        <w:rPr>
          <w:color w:val="404040" w:themeColor="text1" w:themeTint="BF"/>
          <w:szCs w:val="20"/>
          <w:lang w:val="de-DE"/>
        </w:rPr>
      </w:pPr>
    </w:p>
    <w:p w:rsidR="000E7285" w:rsidRPr="000E7285" w:rsidRDefault="000E7285" w:rsidP="000E7285">
      <w:pPr>
        <w:spacing w:line="240" w:lineRule="auto"/>
        <w:rPr>
          <w:color w:val="404040" w:themeColor="text1" w:themeTint="BF"/>
          <w:szCs w:val="20"/>
        </w:rPr>
      </w:pPr>
    </w:p>
    <w:p w:rsidR="000E7285" w:rsidRDefault="000E7285" w:rsidP="000E7285">
      <w:pPr>
        <w:spacing w:line="240" w:lineRule="auto"/>
        <w:rPr>
          <w:color w:val="404040" w:themeColor="text1" w:themeTint="BF"/>
          <w:szCs w:val="20"/>
        </w:rPr>
      </w:pPr>
    </w:p>
    <w:p w:rsidR="000E7285" w:rsidRPr="000E7285" w:rsidRDefault="00A67A73" w:rsidP="000E7285">
      <w:pPr>
        <w:rPr>
          <w:b/>
          <w:color w:val="404040" w:themeColor="text1" w:themeTint="BF"/>
          <w:szCs w:val="20"/>
        </w:rPr>
      </w:pPr>
      <w:r>
        <w:rPr>
          <w:b/>
          <w:color w:val="404040" w:themeColor="text1" w:themeTint="BF"/>
          <w:szCs w:val="20"/>
        </w:rPr>
        <w:t>1</w:t>
      </w:r>
      <w:r w:rsidR="000E7285" w:rsidRPr="000E7285">
        <w:rPr>
          <w:b/>
          <w:color w:val="404040" w:themeColor="text1" w:themeTint="BF"/>
          <w:szCs w:val="20"/>
        </w:rPr>
        <w:t>.6.2 Festlegung von Referenz- und Standardwerten</w:t>
      </w:r>
    </w:p>
    <w:p w:rsidR="000E7285" w:rsidRPr="000E7285" w:rsidRDefault="000E7285" w:rsidP="000E7285">
      <w:pPr>
        <w:pStyle w:val="Flietext"/>
        <w:rPr>
          <w:rFonts w:asciiTheme="minorHAnsi" w:hAnsiTheme="minorHAnsi"/>
          <w:i/>
          <w:color w:val="808080" w:themeColor="background1" w:themeShade="80"/>
          <w:szCs w:val="20"/>
        </w:rPr>
      </w:pPr>
      <w:r w:rsidRPr="000E7285">
        <w:rPr>
          <w:rFonts w:asciiTheme="minorHAnsi" w:hAnsiTheme="minorHAnsi"/>
          <w:i/>
          <w:color w:val="808080" w:themeColor="background1" w:themeShade="80"/>
          <w:szCs w:val="20"/>
        </w:rPr>
        <w:t>Bitte beschreiben Sie, in welcher Form Referenz- und Standardwerte herangezogen wurden, sofern dies erforderlich war. Mindestens eines der folgenden Kriterien muss erfüllt sein. Mehrfachnennung möglich.</w:t>
      </w:r>
    </w:p>
    <w:p w:rsidR="000E7285" w:rsidRPr="000E7285" w:rsidRDefault="002D27C2" w:rsidP="000E7285">
      <w:pPr>
        <w:pStyle w:val="Standardtext"/>
        <w:tabs>
          <w:tab w:val="left" w:pos="426"/>
        </w:tabs>
        <w:ind w:left="420" w:hanging="420"/>
        <w:rPr>
          <w:sz w:val="22"/>
          <w:lang w:val="de-DE"/>
        </w:rPr>
      </w:pPr>
      <w:sdt>
        <w:sdtPr>
          <w:rPr>
            <w:sz w:val="22"/>
            <w:lang w:val="de-DE"/>
          </w:rPr>
          <w:id w:val="-169197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285">
            <w:rPr>
              <w:rFonts w:ascii="MS Gothic" w:eastAsia="MS Gothic" w:hAnsi="MS Gothic" w:hint="eastAsia"/>
              <w:sz w:val="22"/>
              <w:lang w:val="de-DE"/>
            </w:rPr>
            <w:t>☐</w:t>
          </w:r>
        </w:sdtContent>
      </w:sdt>
      <w:r w:rsidR="000E7285" w:rsidRPr="000E7285">
        <w:rPr>
          <w:sz w:val="22"/>
          <w:lang w:val="de-DE"/>
        </w:rPr>
        <w:t xml:space="preserve"> </w:t>
      </w:r>
      <w:r w:rsidR="000E7285">
        <w:rPr>
          <w:sz w:val="22"/>
          <w:lang w:val="de-DE"/>
        </w:rPr>
        <w:tab/>
      </w:r>
      <w:r w:rsidR="000E7285" w:rsidRPr="000E7285">
        <w:rPr>
          <w:sz w:val="22"/>
          <w:lang w:val="de-DE"/>
        </w:rPr>
        <w:t>Repräsentative Einsparungen oder Verbrauchswerte auf Basis von Messungen (Anforderungen für Messungen siehe Kapitel</w:t>
      </w:r>
      <w:r w:rsidR="003D384D">
        <w:rPr>
          <w:sz w:val="22"/>
          <w:lang w:val="de-DE"/>
        </w:rPr>
        <w:t xml:space="preserve"> </w:t>
      </w:r>
      <w:hyperlink w:anchor="Messungen" w:history="1">
        <w:r w:rsidR="003D384D" w:rsidRPr="00B70EEA">
          <w:rPr>
            <w:rStyle w:val="Hyperlink"/>
            <w:sz w:val="22"/>
            <w:lang w:val="de-DE"/>
          </w:rPr>
          <w:t>1.5</w:t>
        </w:r>
      </w:hyperlink>
      <w:r w:rsidR="000E7285" w:rsidRPr="000E7285">
        <w:rPr>
          <w:sz w:val="22"/>
          <w:lang w:val="de-DE"/>
        </w:rPr>
        <w:t>)</w:t>
      </w:r>
    </w:p>
    <w:p w:rsidR="000E7285" w:rsidRPr="000E7285" w:rsidRDefault="002D27C2" w:rsidP="000E7285">
      <w:pPr>
        <w:pStyle w:val="Standardtext"/>
        <w:tabs>
          <w:tab w:val="left" w:pos="426"/>
        </w:tabs>
        <w:ind w:left="420" w:hanging="420"/>
        <w:rPr>
          <w:sz w:val="22"/>
          <w:lang w:val="de-DE"/>
        </w:rPr>
      </w:pPr>
      <w:sdt>
        <w:sdtPr>
          <w:rPr>
            <w:sz w:val="22"/>
            <w:lang w:val="de-DE"/>
          </w:rPr>
          <w:id w:val="113683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285" w:rsidRPr="000E7285">
            <w:rPr>
              <w:rFonts w:ascii="MS Gothic" w:eastAsia="MS Gothic" w:hAnsi="MS Gothic" w:cs="MS Gothic" w:hint="eastAsia"/>
              <w:sz w:val="22"/>
              <w:lang w:val="de-DE"/>
            </w:rPr>
            <w:t>☐</w:t>
          </w:r>
        </w:sdtContent>
      </w:sdt>
      <w:r w:rsidR="000E7285" w:rsidRPr="000E7285">
        <w:rPr>
          <w:sz w:val="22"/>
          <w:lang w:val="de-DE"/>
        </w:rPr>
        <w:t xml:space="preserve"> </w:t>
      </w:r>
      <w:r w:rsidR="000E7285">
        <w:rPr>
          <w:sz w:val="22"/>
          <w:lang w:val="de-DE"/>
        </w:rPr>
        <w:tab/>
      </w:r>
      <w:r w:rsidR="000E7285" w:rsidRPr="000E7285">
        <w:rPr>
          <w:sz w:val="22"/>
          <w:lang w:val="de-DE"/>
        </w:rPr>
        <w:t xml:space="preserve">Angenommene Werten oder technische Abschätzungen der Einsparungen. Bitte beschreiben Sie, warum die Ermittlung belastbarer gemessener Daten mit wirtschaftlich vertretbarem Aufwand oder die Herleitung von Werten anhand belastbarer Datenquellen gemäß Kapitel </w:t>
      </w:r>
      <w:hyperlink w:anchor="Datenquellen" w:history="1">
        <w:r w:rsidR="003D384D" w:rsidRPr="00B70EEA">
          <w:rPr>
            <w:rStyle w:val="Hyperlink"/>
            <w:sz w:val="22"/>
            <w:lang w:val="de-DE"/>
          </w:rPr>
          <w:t>1.3</w:t>
        </w:r>
      </w:hyperlink>
      <w:r w:rsidR="000E7285" w:rsidRPr="000E7285">
        <w:rPr>
          <w:sz w:val="22"/>
          <w:lang w:val="de-DE"/>
        </w:rPr>
        <w:t xml:space="preserve"> nicht möglich war. </w:t>
      </w:r>
    </w:p>
    <w:p w:rsidR="000E7285" w:rsidRDefault="000E7285" w:rsidP="000E7285">
      <w:pPr>
        <w:spacing w:line="240" w:lineRule="auto"/>
        <w:rPr>
          <w:color w:val="404040" w:themeColor="text1" w:themeTint="BF"/>
          <w:szCs w:val="20"/>
          <w:lang w:val="de-DE"/>
        </w:rPr>
      </w:pPr>
      <w:r w:rsidRPr="000E7285">
        <w:rPr>
          <w:color w:val="404040" w:themeColor="text1" w:themeTint="BF"/>
          <w:szCs w:val="20"/>
          <w:lang w:val="de-DE"/>
        </w:rPr>
        <w:t>Begründung Abschätzung</w:t>
      </w:r>
      <w:r>
        <w:rPr>
          <w:color w:val="404040" w:themeColor="text1" w:themeTint="BF"/>
          <w:szCs w:val="20"/>
          <w:lang w:val="de-DE"/>
        </w:rPr>
        <w:t>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0E7285" w:rsidRDefault="000E7285" w:rsidP="000E7285">
      <w:pPr>
        <w:spacing w:line="240" w:lineRule="auto"/>
        <w:rPr>
          <w:color w:val="404040" w:themeColor="text1" w:themeTint="BF"/>
          <w:szCs w:val="20"/>
          <w:lang w:val="de-DE"/>
        </w:rPr>
      </w:pPr>
    </w:p>
    <w:p w:rsidR="000E7285" w:rsidRDefault="000E7285" w:rsidP="000E7285">
      <w:pPr>
        <w:spacing w:line="240" w:lineRule="auto"/>
        <w:rPr>
          <w:color w:val="404040" w:themeColor="text1" w:themeTint="BF"/>
          <w:szCs w:val="20"/>
          <w:lang w:val="de-DE"/>
        </w:rPr>
      </w:pPr>
    </w:p>
    <w:p w:rsidR="000E7285" w:rsidRDefault="000E7285" w:rsidP="000E7285">
      <w:pPr>
        <w:spacing w:line="240" w:lineRule="auto"/>
        <w:rPr>
          <w:color w:val="404040" w:themeColor="text1" w:themeTint="BF"/>
          <w:szCs w:val="20"/>
          <w:lang w:val="de-DE"/>
        </w:rPr>
      </w:pPr>
    </w:p>
    <w:p w:rsidR="000E7285" w:rsidRDefault="000E7285" w:rsidP="000E7285">
      <w:pPr>
        <w:tabs>
          <w:tab w:val="left" w:pos="426"/>
        </w:tabs>
        <w:spacing w:line="240" w:lineRule="auto"/>
        <w:rPr>
          <w:color w:val="404040" w:themeColor="text1" w:themeTint="BF"/>
          <w:szCs w:val="20"/>
          <w:lang w:val="de-DE"/>
        </w:rPr>
      </w:pPr>
      <w:proofErr w:type="gramStart"/>
      <w:r w:rsidRPr="000E7285">
        <w:rPr>
          <w:rFonts w:ascii="MS Gothic" w:eastAsia="MS Gothic" w:hAnsi="MS Gothic" w:cs="MS Gothic" w:hint="eastAsia"/>
          <w:color w:val="404040" w:themeColor="text1" w:themeTint="BF"/>
          <w:szCs w:val="20"/>
          <w:lang w:val="de-DE"/>
        </w:rPr>
        <w:t>☐</w:t>
      </w:r>
      <w:r w:rsidRPr="000E7285">
        <w:rPr>
          <w:color w:val="404040" w:themeColor="text1" w:themeTint="BF"/>
          <w:szCs w:val="20"/>
          <w:lang w:val="de-DE"/>
        </w:rPr>
        <w:t xml:space="preserve"> </w:t>
      </w:r>
      <w:r>
        <w:rPr>
          <w:color w:val="404040" w:themeColor="text1" w:themeTint="BF"/>
          <w:szCs w:val="20"/>
          <w:lang w:val="de-DE"/>
        </w:rPr>
        <w:tab/>
      </w:r>
      <w:r w:rsidRPr="000E7285">
        <w:rPr>
          <w:color w:val="404040" w:themeColor="text1" w:themeTint="BF"/>
          <w:szCs w:val="20"/>
          <w:lang w:val="de-DE"/>
        </w:rPr>
        <w:t>Empirische Erhebungen</w:t>
      </w:r>
      <w:r>
        <w:rPr>
          <w:rStyle w:val="Funotenzeichen"/>
          <w:lang w:val="de-DE"/>
        </w:rPr>
        <w:footnoteReference w:id="1"/>
      </w:r>
      <w:r w:rsidRPr="000E7285">
        <w:rPr>
          <w:color w:val="404040" w:themeColor="text1" w:themeTint="BF"/>
          <w:szCs w:val="20"/>
          <w:lang w:val="de-DE"/>
        </w:rPr>
        <w:t>.</w:t>
      </w:r>
      <w:proofErr w:type="gramEnd"/>
    </w:p>
    <w:p w:rsidR="000E7285" w:rsidRDefault="000E7285" w:rsidP="000E7285">
      <w:pPr>
        <w:tabs>
          <w:tab w:val="left" w:pos="426"/>
        </w:tabs>
        <w:spacing w:line="240" w:lineRule="auto"/>
        <w:rPr>
          <w:color w:val="404040" w:themeColor="text1" w:themeTint="BF"/>
          <w:szCs w:val="20"/>
          <w:lang w:val="de-DE"/>
        </w:rPr>
      </w:pPr>
    </w:p>
    <w:p w:rsidR="000E7285" w:rsidRPr="000E7285" w:rsidRDefault="000E7285" w:rsidP="000E7285">
      <w:pPr>
        <w:pStyle w:val="Flietext"/>
        <w:rPr>
          <w:rFonts w:asciiTheme="minorHAnsi" w:hAnsiTheme="minorHAnsi"/>
          <w:i/>
          <w:color w:val="808080" w:themeColor="background1" w:themeShade="80"/>
          <w:szCs w:val="20"/>
        </w:rPr>
      </w:pPr>
      <w:r w:rsidRPr="000E7285">
        <w:rPr>
          <w:rFonts w:asciiTheme="minorHAnsi" w:hAnsiTheme="minorHAnsi"/>
          <w:i/>
          <w:color w:val="808080" w:themeColor="background1" w:themeShade="80"/>
          <w:szCs w:val="20"/>
        </w:rPr>
        <w:t xml:space="preserve">Bitte beschreiben Sie die Bestimmung der Referenz- und Standardwerte für jeden in der Bewertung verwendeten Wert: </w:t>
      </w:r>
    </w:p>
    <w:p w:rsidR="000E7285" w:rsidRPr="00323FE3" w:rsidRDefault="000E7285" w:rsidP="000E7285">
      <w:pPr>
        <w:rPr>
          <w:color w:val="404040" w:themeColor="text1" w:themeTint="BF"/>
        </w:rPr>
      </w:pPr>
      <w:r w:rsidRPr="000E7285">
        <w:rPr>
          <w:color w:val="404040" w:themeColor="text1" w:themeTint="BF"/>
        </w:rPr>
        <w:t>Bestimmung der Referenz</w:t>
      </w:r>
      <w:r w:rsidRPr="00323FE3">
        <w:rPr>
          <w:color w:val="404040" w:themeColor="text1" w:themeTint="BF"/>
        </w:rPr>
        <w:t>- und Standardwerte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0E7285" w:rsidRPr="00D27DB4" w:rsidRDefault="000E7285" w:rsidP="000E7285">
      <w:pPr>
        <w:tabs>
          <w:tab w:val="left" w:pos="426"/>
        </w:tabs>
        <w:spacing w:line="240" w:lineRule="auto"/>
        <w:rPr>
          <w:color w:val="404040" w:themeColor="text1" w:themeTint="BF"/>
          <w:szCs w:val="20"/>
          <w:lang w:val="de-DE"/>
        </w:rPr>
      </w:pPr>
    </w:p>
    <w:p w:rsidR="000E7285" w:rsidRDefault="000E7285" w:rsidP="000E7285">
      <w:pPr>
        <w:tabs>
          <w:tab w:val="left" w:pos="426"/>
        </w:tabs>
        <w:spacing w:line="240" w:lineRule="auto"/>
        <w:rPr>
          <w:color w:val="404040" w:themeColor="text1" w:themeTint="BF"/>
          <w:szCs w:val="20"/>
        </w:rPr>
      </w:pPr>
    </w:p>
    <w:p w:rsidR="000E7285" w:rsidRDefault="000E7285" w:rsidP="000E7285">
      <w:pPr>
        <w:tabs>
          <w:tab w:val="left" w:pos="426"/>
        </w:tabs>
        <w:spacing w:line="240" w:lineRule="auto"/>
        <w:rPr>
          <w:color w:val="404040" w:themeColor="text1" w:themeTint="BF"/>
          <w:szCs w:val="20"/>
        </w:rPr>
      </w:pPr>
    </w:p>
    <w:p w:rsidR="000E7285" w:rsidRDefault="000E7285" w:rsidP="000E7285">
      <w:pPr>
        <w:tabs>
          <w:tab w:val="left" w:pos="426"/>
        </w:tabs>
        <w:spacing w:line="240" w:lineRule="auto"/>
        <w:rPr>
          <w:color w:val="404040" w:themeColor="text1" w:themeTint="BF"/>
          <w:szCs w:val="20"/>
        </w:rPr>
      </w:pPr>
    </w:p>
    <w:p w:rsidR="000E7285" w:rsidRDefault="00A67A73" w:rsidP="000E7285">
      <w:pPr>
        <w:rPr>
          <w:b/>
          <w:color w:val="404040" w:themeColor="text1" w:themeTint="BF"/>
          <w:szCs w:val="20"/>
        </w:rPr>
      </w:pPr>
      <w:r>
        <w:rPr>
          <w:b/>
          <w:color w:val="404040" w:themeColor="text1" w:themeTint="BF"/>
          <w:szCs w:val="20"/>
        </w:rPr>
        <w:lastRenderedPageBreak/>
        <w:t>1</w:t>
      </w:r>
      <w:r w:rsidR="000E7285" w:rsidRPr="000E7285">
        <w:rPr>
          <w:b/>
          <w:color w:val="404040" w:themeColor="text1" w:themeTint="BF"/>
          <w:szCs w:val="20"/>
        </w:rPr>
        <w:t>.6.3 Berechnung der Gesamteinsparungen</w:t>
      </w:r>
    </w:p>
    <w:p w:rsidR="000E7285" w:rsidRPr="000E7285" w:rsidRDefault="000E7285" w:rsidP="000E7285">
      <w:pPr>
        <w:pStyle w:val="Standardtext"/>
        <w:rPr>
          <w:i/>
          <w:color w:val="808080" w:themeColor="background1" w:themeShade="80"/>
          <w:szCs w:val="20"/>
        </w:rPr>
      </w:pPr>
      <w:r w:rsidRPr="000E7285">
        <w:rPr>
          <w:i/>
          <w:color w:val="808080" w:themeColor="background1" w:themeShade="80"/>
          <w:szCs w:val="20"/>
        </w:rPr>
        <w:t>Bitte beschreiben Sie folgende Berechnungsschritte:</w:t>
      </w:r>
    </w:p>
    <w:p w:rsidR="000E7285" w:rsidRDefault="000E7285" w:rsidP="000E7285">
      <w:pPr>
        <w:rPr>
          <w:color w:val="404040" w:themeColor="text1" w:themeTint="BF"/>
        </w:rPr>
      </w:pPr>
      <w:r w:rsidRPr="00633449">
        <w:rPr>
          <w:color w:val="404040" w:themeColor="text1" w:themeTint="BF"/>
          <w:highlight w:val="yellow"/>
        </w:rPr>
        <w:t>Erster Schritt: Ermitteln der normierten und normalisierten Endenergieeinsparungen je Energieeffizienz-maßnahme: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 w:rsidRPr="00D27DB4"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 w:rsidRPr="00D27DB4">
        <w:rPr>
          <w:color w:val="404040" w:themeColor="text1" w:themeTint="BF"/>
        </w:rPr>
        <w:instrText xml:space="preserve"> FORMTEXT </w:instrText>
      </w:r>
      <w:r w:rsidRPr="00D27DB4">
        <w:rPr>
          <w:color w:val="404040" w:themeColor="text1" w:themeTint="BF"/>
        </w:rPr>
      </w:r>
      <w:r w:rsidRPr="00D27DB4">
        <w:rPr>
          <w:color w:val="404040" w:themeColor="text1" w:themeTint="BF"/>
        </w:rPr>
        <w:fldChar w:fldCharType="separate"/>
      </w:r>
      <w:r w:rsidRPr="00D27DB4">
        <w:rPr>
          <w:noProof/>
          <w:color w:val="404040" w:themeColor="text1" w:themeTint="BF"/>
        </w:rPr>
        <w:t>Bitte geben Sie hier Ihren Text ein</w:t>
      </w:r>
      <w:r w:rsidRPr="00D27DB4">
        <w:rPr>
          <w:color w:val="404040" w:themeColor="text1" w:themeTint="BF"/>
        </w:rPr>
        <w:fldChar w:fldCharType="end"/>
      </w:r>
    </w:p>
    <w:p w:rsidR="000E7285" w:rsidRPr="00D27DB4" w:rsidRDefault="000E7285" w:rsidP="000E7285">
      <w:pPr>
        <w:rPr>
          <w:color w:val="404040" w:themeColor="text1" w:themeTint="BF"/>
          <w:lang w:val="de-DE"/>
        </w:rPr>
      </w:pPr>
    </w:p>
    <w:p w:rsidR="000E7285" w:rsidRDefault="000E7285" w:rsidP="000E7285">
      <w:pPr>
        <w:rPr>
          <w:color w:val="404040" w:themeColor="text1" w:themeTint="BF"/>
        </w:rPr>
      </w:pPr>
    </w:p>
    <w:p w:rsidR="000E7285" w:rsidRDefault="000E7285" w:rsidP="000E7285">
      <w:pPr>
        <w:rPr>
          <w:color w:val="404040" w:themeColor="text1" w:themeTint="BF"/>
        </w:rPr>
      </w:pPr>
    </w:p>
    <w:p w:rsidR="000E7285" w:rsidRDefault="000E7285" w:rsidP="000E7285">
      <w:pPr>
        <w:rPr>
          <w:color w:val="404040" w:themeColor="text1" w:themeTint="BF"/>
        </w:rPr>
      </w:pPr>
      <w:r w:rsidRPr="00633449">
        <w:rPr>
          <w:color w:val="404040" w:themeColor="text1" w:themeTint="BF"/>
          <w:highlight w:val="yellow"/>
        </w:rPr>
        <w:t>Zweiter Schritt: Die Definition einer Anleitung für die Aggregation der Endenergieeinsparungen der Energieeffizienzmaßnahme gemäß Z 1 über die in der jeweiligen Verpflichtungsperiode insgesamt durchgeführten Energieeffizienzmaßnahmen: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0E7285" w:rsidRPr="00D27DB4" w:rsidRDefault="000E7285" w:rsidP="000E7285">
      <w:pPr>
        <w:rPr>
          <w:color w:val="404040" w:themeColor="text1" w:themeTint="BF"/>
          <w:lang w:val="de-DE"/>
        </w:rPr>
      </w:pPr>
    </w:p>
    <w:p w:rsidR="000E7285" w:rsidRDefault="000E7285" w:rsidP="000E7285">
      <w:pPr>
        <w:rPr>
          <w:color w:val="404040" w:themeColor="text1" w:themeTint="BF"/>
        </w:rPr>
      </w:pPr>
    </w:p>
    <w:p w:rsidR="000E7285" w:rsidRDefault="000E7285" w:rsidP="000E7285">
      <w:pPr>
        <w:rPr>
          <w:color w:val="404040" w:themeColor="text1" w:themeTint="BF"/>
        </w:rPr>
      </w:pPr>
    </w:p>
    <w:p w:rsidR="000E7285" w:rsidRDefault="000E7285" w:rsidP="000E7285">
      <w:pPr>
        <w:rPr>
          <w:color w:val="404040" w:themeColor="text1" w:themeTint="BF"/>
          <w:lang w:val="de-DE"/>
        </w:rPr>
      </w:pPr>
      <w:r w:rsidRPr="000E7285">
        <w:rPr>
          <w:color w:val="404040" w:themeColor="text1" w:themeTint="BF"/>
          <w:lang w:val="de-DE"/>
        </w:rPr>
        <w:t>Dritter Schritt: Festlegung der Lebensdauer der Energieeffizienzmaßnahme:</w:t>
      </w:r>
    </w:p>
    <w:p w:rsidR="00D27DB4" w:rsidRPr="00002FA0" w:rsidRDefault="00D27DB4" w:rsidP="00D27DB4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0E7285" w:rsidRDefault="000E7285" w:rsidP="000E7285">
      <w:pPr>
        <w:rPr>
          <w:color w:val="404040" w:themeColor="text1" w:themeTint="BF"/>
          <w:lang w:val="de-DE"/>
        </w:rPr>
      </w:pPr>
    </w:p>
    <w:p w:rsidR="000E7285" w:rsidRDefault="000E7285" w:rsidP="000E7285">
      <w:pPr>
        <w:rPr>
          <w:color w:val="404040" w:themeColor="text1" w:themeTint="BF"/>
          <w:lang w:val="de-DE"/>
        </w:rPr>
      </w:pPr>
    </w:p>
    <w:p w:rsidR="000E7285" w:rsidRDefault="000E7285" w:rsidP="000E7285">
      <w:pPr>
        <w:rPr>
          <w:color w:val="404040" w:themeColor="text1" w:themeTint="BF"/>
          <w:lang w:val="de-DE"/>
        </w:rPr>
      </w:pPr>
    </w:p>
    <w:p w:rsidR="000E7285" w:rsidRPr="000E7285" w:rsidRDefault="000E7285" w:rsidP="000E7285">
      <w:pPr>
        <w:rPr>
          <w:b/>
          <w:color w:val="404040" w:themeColor="text1" w:themeTint="BF"/>
          <w:szCs w:val="20"/>
        </w:rPr>
      </w:pPr>
      <w:r w:rsidRPr="000E7285">
        <w:rPr>
          <w:b/>
          <w:color w:val="404040" w:themeColor="text1" w:themeTint="BF"/>
          <w:szCs w:val="20"/>
        </w:rPr>
        <w:t>1.6.4 Prüfung auf Doppel- und Mehrfachzählungen</w:t>
      </w:r>
    </w:p>
    <w:p w:rsidR="000E7285" w:rsidRPr="000E7285" w:rsidRDefault="000E7285" w:rsidP="000E7285">
      <w:pPr>
        <w:pStyle w:val="Standardtext"/>
        <w:rPr>
          <w:i/>
          <w:color w:val="808080" w:themeColor="background1" w:themeShade="80"/>
          <w:szCs w:val="20"/>
        </w:rPr>
      </w:pPr>
      <w:r w:rsidRPr="00633449">
        <w:rPr>
          <w:i/>
          <w:color w:val="808080" w:themeColor="background1" w:themeShade="80"/>
          <w:szCs w:val="20"/>
          <w:highlight w:val="yellow"/>
        </w:rPr>
        <w:t>Bitte beschreiben Sie, wie das Zusammenwirken mit anderen verallgemeinerten Methoden oder individuellen Bewertungen bei der Erstellung der vorliegenden Bewertung geprüft wurde. Bitte beschreiben Sie, wie allfällige Doppel- oder Mehrfachzählungen korrigiert werden.</w:t>
      </w:r>
    </w:p>
    <w:p w:rsidR="000E7285" w:rsidRDefault="000E7285" w:rsidP="000E7285">
      <w:pPr>
        <w:rPr>
          <w:color w:val="404040" w:themeColor="text1" w:themeTint="BF"/>
          <w:lang w:val="de-DE"/>
        </w:rPr>
      </w:pPr>
      <w:r w:rsidRPr="000E7285">
        <w:rPr>
          <w:color w:val="404040" w:themeColor="text1" w:themeTint="BF"/>
          <w:lang w:val="de-DE"/>
        </w:rPr>
        <w:t>Korrektur Doppel- oder Mehrfachzählungen:</w:t>
      </w:r>
    </w:p>
    <w:p w:rsidR="000E7285" w:rsidRPr="00002FA0" w:rsidRDefault="009247FF" w:rsidP="000E7285">
      <w:pPr>
        <w:tabs>
          <w:tab w:val="left" w:pos="426"/>
        </w:tabs>
        <w:spacing w:after="120" w:line="240" w:lineRule="auto"/>
        <w:rPr>
          <w:lang w:val="de-DE"/>
        </w:rPr>
      </w:pPr>
      <w:r>
        <w:rPr>
          <w:color w:val="404040" w:themeColor="text1" w:themeTint="BF"/>
        </w:rPr>
        <w:fldChar w:fldCharType="begin">
          <w:ffData>
            <w:name w:val=""/>
            <w:enabled/>
            <w:calcOnExit w:val="0"/>
            <w:statusText w:type="autoText" w:val="Beginnzeit"/>
            <w:textInput>
              <w:default w:val="Bitte geben Sie hier Ihren Text ein"/>
            </w:textInput>
          </w:ffData>
        </w:fldChar>
      </w:r>
      <w:r>
        <w:rPr>
          <w:color w:val="404040" w:themeColor="text1" w:themeTint="BF"/>
        </w:rPr>
        <w:instrText xml:space="preserve"> FORMTEXT </w:instrText>
      </w:r>
      <w:r>
        <w:rPr>
          <w:color w:val="404040" w:themeColor="text1" w:themeTint="BF"/>
        </w:rPr>
      </w:r>
      <w:r>
        <w:rPr>
          <w:color w:val="404040" w:themeColor="text1" w:themeTint="BF"/>
        </w:rPr>
        <w:fldChar w:fldCharType="separate"/>
      </w:r>
      <w:r>
        <w:rPr>
          <w:noProof/>
          <w:color w:val="404040" w:themeColor="text1" w:themeTint="BF"/>
        </w:rPr>
        <w:t>Bitte geben Sie hier Ihren Text ein</w:t>
      </w:r>
      <w:r>
        <w:rPr>
          <w:color w:val="404040" w:themeColor="text1" w:themeTint="BF"/>
        </w:rPr>
        <w:fldChar w:fldCharType="end"/>
      </w:r>
    </w:p>
    <w:p w:rsidR="000E7285" w:rsidRDefault="000E7285" w:rsidP="000E7285">
      <w:pPr>
        <w:rPr>
          <w:color w:val="404040" w:themeColor="text1" w:themeTint="BF"/>
          <w:lang w:val="de-DE"/>
        </w:rPr>
      </w:pPr>
    </w:p>
    <w:p w:rsidR="000E7285" w:rsidRDefault="000E7285" w:rsidP="000E7285">
      <w:pPr>
        <w:rPr>
          <w:color w:val="404040" w:themeColor="text1" w:themeTint="BF"/>
          <w:lang w:val="de-DE"/>
        </w:rPr>
      </w:pPr>
    </w:p>
    <w:p w:rsidR="000E7285" w:rsidRDefault="000E7285" w:rsidP="000E7285">
      <w:pPr>
        <w:rPr>
          <w:color w:val="404040" w:themeColor="text1" w:themeTint="BF"/>
          <w:lang w:val="de-DE"/>
        </w:rPr>
      </w:pPr>
    </w:p>
    <w:p w:rsidR="000E7285" w:rsidRDefault="000E7285" w:rsidP="000E7285">
      <w:pPr>
        <w:rPr>
          <w:color w:val="404040" w:themeColor="text1" w:themeTint="BF"/>
          <w:lang w:val="de-DE"/>
        </w:rPr>
      </w:pPr>
    </w:p>
    <w:p w:rsidR="000E7285" w:rsidRPr="006148AD" w:rsidRDefault="000E7285" w:rsidP="000E7285">
      <w:pPr>
        <w:rPr>
          <w:b/>
          <w:color w:val="404040" w:themeColor="text1" w:themeTint="BF"/>
          <w:sz w:val="36"/>
        </w:rPr>
      </w:pPr>
      <w:r w:rsidRPr="006148AD">
        <w:rPr>
          <w:b/>
          <w:color w:val="404040" w:themeColor="text1" w:themeTint="BF"/>
          <w:sz w:val="36"/>
        </w:rPr>
        <w:lastRenderedPageBreak/>
        <w:t>2</w:t>
      </w:r>
      <w:r w:rsidR="00A67A73">
        <w:rPr>
          <w:b/>
          <w:color w:val="404040" w:themeColor="text1" w:themeTint="BF"/>
          <w:sz w:val="36"/>
        </w:rPr>
        <w:t>.</w:t>
      </w:r>
      <w:r w:rsidRPr="006148AD">
        <w:rPr>
          <w:b/>
          <w:color w:val="404040" w:themeColor="text1" w:themeTint="BF"/>
          <w:sz w:val="36"/>
        </w:rPr>
        <w:t xml:space="preserve"> Beschreibung der Methode</w:t>
      </w:r>
    </w:p>
    <w:p w:rsidR="000E7285" w:rsidRPr="006148AD" w:rsidRDefault="000E7285" w:rsidP="006148AD">
      <w:pPr>
        <w:pStyle w:val="Standardtext"/>
        <w:rPr>
          <w:i/>
          <w:color w:val="808080" w:themeColor="background1" w:themeShade="80"/>
          <w:szCs w:val="20"/>
        </w:rPr>
      </w:pPr>
      <w:r w:rsidRPr="006148AD">
        <w:rPr>
          <w:i/>
          <w:color w:val="808080" w:themeColor="background1" w:themeShade="80"/>
          <w:szCs w:val="20"/>
        </w:rPr>
        <w:t xml:space="preserve">Bitte beschreiben Sie nach dem Vorbild verallgemeinerter Methoden gemäß Anlage 1 der RL-VO die Methode folgendermaßen (Anforderung gemäß §10 der RL-VO). Sie können bei der Beschreibung der Methode auf die bereits erfolgten Ausführungen in Kapitel </w:t>
      </w:r>
      <w:hyperlink w:anchor="Gutachten" w:history="1">
        <w:r w:rsidR="00AF3E92" w:rsidRPr="00AF3E92">
          <w:rPr>
            <w:rStyle w:val="Hyperlink"/>
            <w:i/>
            <w:szCs w:val="20"/>
          </w:rPr>
          <w:t>1</w:t>
        </w:r>
      </w:hyperlink>
      <w:r w:rsidR="00AF3E92">
        <w:rPr>
          <w:i/>
          <w:color w:val="808080" w:themeColor="background1" w:themeShade="80"/>
          <w:szCs w:val="20"/>
        </w:rPr>
        <w:t xml:space="preserve"> </w:t>
      </w:r>
      <w:r w:rsidRPr="006148AD">
        <w:rPr>
          <w:i/>
          <w:color w:val="808080" w:themeColor="background1" w:themeShade="80"/>
          <w:szCs w:val="20"/>
        </w:rPr>
        <w:t>Bezug nehmen.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eine prägnante Beschreibung der von der Methode erfassten Energieeffizienzmaßnahmen;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eine Formel für die Bewertung der von der Methode erfassten Energieeffizienzmaßnahmen;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die Angabe der relevanten standardmäßig angenommenen Durchschnittswerte (Default-Werte), insbesondere der Lebensdauer und des Faktors der Energieeinsparung bzw. des Effizienzgewinns;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die Angabe des methodischen Ansatzes;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die Anführung der zugrunde liegenden Daten;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das Datum, ab dem die Methode in Anwendung ist;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Angaben, ob es sich bei Energieeffizienzmaßnahmen, die aufgrund der Methode gesetzt werden, um ausschließliche Haushaltsmaßnahmen oder Maßnahmen im Mobilitätsbereich gemäß § 10 Abs. 1 EEffG handelt; zusätzlich ist bei Energieeffizienzmaßnahmen gemäß § 27 Abs. 4 Z 5 EEffG der gesetzlich normierte Faktor anzugeben;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Angaben, wann eine Energieeffizienzmaßnahme, die auf Basis der Methode bewirkt wurde, abgeschlossen ist und ihre Einsparwirkung bzw. Effizienzverbesserungswirkung zu entfalten beginnt;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allfällige zusätzlich erforderliche Umrechnungsfaktoren;</w:t>
      </w:r>
    </w:p>
    <w:p w:rsidR="000E7285" w:rsidRPr="006148AD" w:rsidRDefault="000E7285" w:rsidP="006148AD">
      <w:pPr>
        <w:pStyle w:val="Flietext"/>
        <w:numPr>
          <w:ilvl w:val="0"/>
          <w:numId w:val="9"/>
        </w:numPr>
        <w:ind w:left="851" w:hanging="567"/>
        <w:rPr>
          <w:rFonts w:asciiTheme="minorHAnsi" w:hAnsiTheme="minorHAnsi"/>
          <w:color w:val="404040" w:themeColor="text1" w:themeTint="BF"/>
          <w:sz w:val="22"/>
        </w:rPr>
      </w:pPr>
      <w:r w:rsidRPr="006148AD">
        <w:rPr>
          <w:rFonts w:asciiTheme="minorHAnsi" w:hAnsiTheme="minorHAnsi"/>
          <w:color w:val="404040" w:themeColor="text1" w:themeTint="BF"/>
          <w:sz w:val="22"/>
        </w:rPr>
        <w:t>allfällige Dokumentationserfordernisse.</w:t>
      </w:r>
    </w:p>
    <w:p w:rsidR="006950C7" w:rsidRPr="000E7285" w:rsidRDefault="006950C7" w:rsidP="000E7285">
      <w:pPr>
        <w:rPr>
          <w:color w:val="404040" w:themeColor="text1" w:themeTint="BF"/>
          <w:lang w:val="de-DE"/>
        </w:rPr>
      </w:pPr>
    </w:p>
    <w:sectPr w:rsidR="006950C7" w:rsidRPr="000E7285" w:rsidSect="009A5F86">
      <w:headerReference w:type="default" r:id="rId9"/>
      <w:footerReference w:type="default" r:id="rId10"/>
      <w:pgSz w:w="11906" w:h="16838"/>
      <w:pgMar w:top="1948" w:right="1133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68" w:rsidRDefault="00DD2A68" w:rsidP="00DD2A68">
      <w:pPr>
        <w:spacing w:after="0" w:line="240" w:lineRule="auto"/>
      </w:pPr>
      <w:r>
        <w:separator/>
      </w:r>
    </w:p>
  </w:endnote>
  <w:endnote w:type="continuationSeparator" w:id="0">
    <w:p w:rsidR="00DD2A68" w:rsidRDefault="00DD2A68" w:rsidP="00DD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216579"/>
      <w:docPartObj>
        <w:docPartGallery w:val="Page Numbers (Bottom of Page)"/>
        <w:docPartUnique/>
      </w:docPartObj>
    </w:sdtPr>
    <w:sdtEndPr/>
    <w:sdtContent>
      <w:p w:rsidR="009A5F86" w:rsidRPr="009A5F86" w:rsidRDefault="009A5F86" w:rsidP="009A5F8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7C2" w:rsidRPr="002D27C2">
          <w:rPr>
            <w:noProof/>
            <w:lang w:val="de-DE"/>
          </w:rPr>
          <w:t>6</w:t>
        </w:r>
        <w:r>
          <w:fldChar w:fldCharType="end"/>
        </w:r>
      </w:p>
    </w:sdtContent>
  </w:sdt>
  <w:p w:rsidR="009A5F86" w:rsidRDefault="009A5F86" w:rsidP="009A5F86">
    <w:pPr>
      <w:tabs>
        <w:tab w:val="right" w:pos="567"/>
        <w:tab w:val="left" w:pos="9638"/>
      </w:tabs>
      <w:suppressAutoHyphens/>
      <w:autoSpaceDE w:val="0"/>
      <w:autoSpaceDN w:val="0"/>
      <w:adjustRightInd w:val="0"/>
      <w:spacing w:after="0" w:line="264" w:lineRule="auto"/>
      <w:textAlignment w:val="center"/>
      <w:rPr>
        <w:b/>
        <w:color w:val="404040" w:themeColor="text1" w:themeTint="BF"/>
        <w:sz w:val="16"/>
        <w:szCs w:val="16"/>
      </w:rPr>
    </w:pPr>
    <w:r w:rsidRPr="00247BBA">
      <w:rPr>
        <w:rFonts w:ascii="Calibri" w:hAnsi="Calibri" w:cs="Calibri"/>
        <w:color w:val="CE321A"/>
        <w:sz w:val="16"/>
        <w:szCs w:val="18"/>
        <w:lang w:val="de-DE"/>
      </w:rPr>
      <w:t>Monitoringstelle Energieeffizienz</w:t>
    </w:r>
    <w:r w:rsidRPr="003C7E4A">
      <w:rPr>
        <w:b/>
        <w:color w:val="404040" w:themeColor="text1" w:themeTint="BF"/>
        <w:sz w:val="16"/>
        <w:szCs w:val="16"/>
      </w:rPr>
      <w:t xml:space="preserve"> </w:t>
    </w:r>
  </w:p>
  <w:p w:rsidR="009A5F86" w:rsidRDefault="009A5F86" w:rsidP="009A5F86">
    <w:pPr>
      <w:tabs>
        <w:tab w:val="right" w:pos="567"/>
        <w:tab w:val="left" w:pos="9638"/>
      </w:tabs>
      <w:suppressAutoHyphens/>
      <w:autoSpaceDE w:val="0"/>
      <w:autoSpaceDN w:val="0"/>
      <w:adjustRightInd w:val="0"/>
      <w:spacing w:after="0" w:line="264" w:lineRule="auto"/>
      <w:textAlignment w:val="center"/>
      <w:rPr>
        <w:rFonts w:ascii="Calibri" w:hAnsi="Calibri" w:cs="Calibri"/>
        <w:color w:val="404040" w:themeColor="text1" w:themeTint="BF"/>
        <w:spacing w:val="-2"/>
        <w:sz w:val="16"/>
        <w:szCs w:val="18"/>
        <w:lang w:val="de-DE"/>
      </w:rPr>
    </w:pPr>
    <w:r w:rsidRPr="00247BBA">
      <w:rPr>
        <w:rFonts w:ascii="Calibri" w:hAnsi="Calibri" w:cs="Calibri"/>
        <w:color w:val="404040" w:themeColor="text1" w:themeTint="BF"/>
        <w:sz w:val="16"/>
        <w:szCs w:val="18"/>
        <w:lang w:val="de-DE"/>
      </w:rPr>
      <w:t>Österreichische Energieagentur - Austrian Energy Agency</w:t>
    </w:r>
    <w:r>
      <w:rPr>
        <w:rFonts w:ascii="Calibri" w:hAnsi="Calibri" w:cs="Calibri"/>
        <w:color w:val="404040" w:themeColor="text1" w:themeTint="BF"/>
        <w:sz w:val="16"/>
        <w:szCs w:val="18"/>
        <w:lang w:val="de-DE"/>
      </w:rPr>
      <w:tab/>
    </w:r>
    <w:r>
      <w:rPr>
        <w:rFonts w:ascii="Calibri" w:hAnsi="Calibri" w:cs="Calibri"/>
        <w:color w:val="404040" w:themeColor="text1" w:themeTint="BF"/>
        <w:sz w:val="16"/>
        <w:szCs w:val="18"/>
        <w:lang w:val="de-DE"/>
      </w:rPr>
      <w:br/>
    </w:r>
    <w:r>
      <w:rPr>
        <w:rFonts w:ascii="Calibri" w:hAnsi="Calibri" w:cs="Calibri"/>
        <w:color w:val="404040" w:themeColor="text1" w:themeTint="BF"/>
        <w:spacing w:val="-2"/>
        <w:sz w:val="16"/>
        <w:szCs w:val="18"/>
        <w:lang w:val="de-DE"/>
      </w:rPr>
      <w:t>01 -</w:t>
    </w:r>
    <w:r w:rsidRPr="00247BBA">
      <w:rPr>
        <w:rFonts w:ascii="Calibri" w:hAnsi="Calibri" w:cs="Calibri"/>
        <w:color w:val="404040" w:themeColor="text1" w:themeTint="BF"/>
        <w:spacing w:val="-2"/>
        <w:sz w:val="16"/>
        <w:szCs w:val="18"/>
        <w:lang w:val="de-DE"/>
      </w:rPr>
      <w:t xml:space="preserve"> 20 52 20 </w:t>
    </w:r>
    <w:r w:rsidRPr="009C1398">
      <w:rPr>
        <w:rFonts w:ascii="Calibri" w:hAnsi="Calibri" w:cs="Calibri"/>
        <w:color w:val="CE321A"/>
        <w:spacing w:val="-2"/>
        <w:sz w:val="16"/>
        <w:szCs w:val="18"/>
        <w:lang w:val="de-DE"/>
      </w:rPr>
      <w:t>|</w:t>
    </w:r>
    <w:r w:rsidRPr="00247BBA">
      <w:rPr>
        <w:rFonts w:ascii="Calibri" w:hAnsi="Calibri" w:cs="Calibri"/>
        <w:color w:val="404040" w:themeColor="text1" w:themeTint="BF"/>
        <w:spacing w:val="-2"/>
        <w:sz w:val="16"/>
        <w:szCs w:val="18"/>
        <w:lang w:val="de-DE"/>
      </w:rPr>
      <w:t xml:space="preserve"> office@monitoringstelle.at </w:t>
    </w:r>
    <w:r w:rsidRPr="009C1398">
      <w:rPr>
        <w:rFonts w:ascii="Calibri" w:hAnsi="Calibri" w:cs="Calibri"/>
        <w:color w:val="CE321A"/>
        <w:spacing w:val="-2"/>
        <w:sz w:val="16"/>
        <w:szCs w:val="18"/>
        <w:lang w:val="de-DE"/>
      </w:rPr>
      <w:t>|</w:t>
    </w:r>
    <w:r w:rsidRPr="00247BBA">
      <w:rPr>
        <w:rFonts w:ascii="Calibri" w:hAnsi="Calibri" w:cs="Calibri"/>
        <w:color w:val="404040" w:themeColor="text1" w:themeTint="BF"/>
        <w:spacing w:val="-2"/>
        <w:sz w:val="16"/>
        <w:szCs w:val="18"/>
        <w:lang w:val="de-DE"/>
      </w:rPr>
      <w:t xml:space="preserve"> </w:t>
    </w:r>
    <w:hyperlink r:id="rId1" w:history="1">
      <w:r w:rsidRPr="00C55952">
        <w:rPr>
          <w:rStyle w:val="Hyperlink"/>
          <w:rFonts w:ascii="Calibri" w:hAnsi="Calibri" w:cs="Calibri"/>
          <w:spacing w:val="-2"/>
          <w:sz w:val="16"/>
          <w:szCs w:val="18"/>
          <w:lang w:val="de-DE"/>
        </w:rPr>
        <w:t>www.monitoringstelle.at</w:t>
      </w:r>
    </w:hyperlink>
  </w:p>
  <w:p w:rsidR="009A5F86" w:rsidRPr="009A5F86" w:rsidRDefault="009A5F86" w:rsidP="009A5F86">
    <w:pPr>
      <w:tabs>
        <w:tab w:val="right" w:pos="567"/>
        <w:tab w:val="left" w:pos="9638"/>
      </w:tabs>
      <w:suppressAutoHyphens/>
      <w:autoSpaceDE w:val="0"/>
      <w:autoSpaceDN w:val="0"/>
      <w:adjustRightInd w:val="0"/>
      <w:spacing w:after="0" w:line="264" w:lineRule="auto"/>
      <w:textAlignment w:val="center"/>
      <w:rPr>
        <w:rFonts w:ascii="Calibri" w:hAnsi="Calibri" w:cs="Calibri"/>
        <w:color w:val="404040" w:themeColor="text1" w:themeTint="BF"/>
        <w:spacing w:val="-2"/>
        <w:sz w:val="16"/>
        <w:szCs w:val="16"/>
        <w:lang w:val="de-DE"/>
      </w:rPr>
    </w:pPr>
    <w:r>
      <w:rPr>
        <w:rFonts w:ascii="Calibri" w:hAnsi="Calibri" w:cs="Calibri"/>
        <w:color w:val="404040" w:themeColor="text1" w:themeTint="BF"/>
        <w:spacing w:val="-2"/>
        <w:sz w:val="16"/>
        <w:szCs w:val="18"/>
        <w:lang w:val="de-D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68" w:rsidRDefault="00DD2A68" w:rsidP="00DD2A68">
      <w:pPr>
        <w:spacing w:after="0" w:line="240" w:lineRule="auto"/>
      </w:pPr>
      <w:r>
        <w:separator/>
      </w:r>
    </w:p>
  </w:footnote>
  <w:footnote w:type="continuationSeparator" w:id="0">
    <w:p w:rsidR="00DD2A68" w:rsidRDefault="00DD2A68" w:rsidP="00DD2A68">
      <w:pPr>
        <w:spacing w:after="0" w:line="240" w:lineRule="auto"/>
      </w:pPr>
      <w:r>
        <w:continuationSeparator/>
      </w:r>
    </w:p>
  </w:footnote>
  <w:footnote w:id="1">
    <w:p w:rsidR="000E7285" w:rsidRPr="000E7285" w:rsidRDefault="000E7285" w:rsidP="000E7285">
      <w:pPr>
        <w:pStyle w:val="Funotentext"/>
        <w:rPr>
          <w:rFonts w:asciiTheme="minorHAnsi" w:hAnsiTheme="minorHAnsi"/>
        </w:rPr>
      </w:pPr>
      <w:r w:rsidRPr="000E7285">
        <w:rPr>
          <w:rStyle w:val="Funotenzeichen"/>
          <w:rFonts w:asciiTheme="minorHAnsi" w:hAnsiTheme="minorHAnsi"/>
        </w:rPr>
        <w:footnoteRef/>
      </w:r>
      <w:r w:rsidRPr="000E7285">
        <w:rPr>
          <w:rFonts w:asciiTheme="minorHAnsi" w:hAnsiTheme="minorHAnsi"/>
        </w:rPr>
        <w:t xml:space="preserve"> Empirische Erhebungen sind insbesondere heranzuziehen:</w:t>
      </w:r>
    </w:p>
    <w:p w:rsidR="000E7285" w:rsidRPr="000E7285" w:rsidRDefault="000E7285" w:rsidP="000E7285">
      <w:pPr>
        <w:pStyle w:val="Funotentext"/>
        <w:numPr>
          <w:ilvl w:val="0"/>
          <w:numId w:val="8"/>
        </w:numPr>
        <w:rPr>
          <w:rFonts w:asciiTheme="minorHAnsi" w:hAnsiTheme="minorHAnsi"/>
        </w:rPr>
      </w:pPr>
      <w:r w:rsidRPr="000E7285">
        <w:rPr>
          <w:rFonts w:asciiTheme="minorHAnsi" w:hAnsiTheme="minorHAnsi"/>
        </w:rPr>
        <w:t>bei verhaltensorientierten Energieeffizienzmaßnahmen, die über ein geändertes Nutzerverhalten bestimmte faktische Energieeinsparungen mit sich bringen, um die Reaktion der Verbraucher auf die gesetzten Energieeffizienzmaßnahmen festzustellen;</w:t>
      </w:r>
    </w:p>
    <w:p w:rsidR="000E7285" w:rsidRDefault="000E7285" w:rsidP="000E7285">
      <w:pPr>
        <w:pStyle w:val="Funotentext"/>
        <w:numPr>
          <w:ilvl w:val="0"/>
          <w:numId w:val="8"/>
        </w:numPr>
      </w:pPr>
      <w:r w:rsidRPr="000E7285">
        <w:rPr>
          <w:rFonts w:asciiTheme="minorHAnsi" w:hAnsiTheme="minorHAnsi"/>
        </w:rPr>
        <w:t>zur Bestimmung der marktüblichen Durchschnittstechnologie gemäß § 4 Abs. 2 Z 1 und der durchschnittlich im Bestand befindlichen Energieverbrauchsgeräte gemäß § 4 Abs. 2 Z 2. Der RL-VO2.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68" w:rsidRDefault="00DD2A68" w:rsidP="00DD2A68">
    <w:pPr>
      <w:pStyle w:val="Kopfzeile"/>
      <w:jc w:val="right"/>
      <w:rPr>
        <w:rFonts w:cstheme="minorHAnsi"/>
        <w:sz w:val="20"/>
      </w:rPr>
    </w:pPr>
    <w:r w:rsidRPr="00DD2836">
      <w:rPr>
        <w:b/>
        <w:noProof/>
        <w:color w:val="404040" w:themeColor="text1" w:themeTint="BF"/>
        <w:sz w:val="48"/>
        <w:lang w:eastAsia="de-AT"/>
      </w:rPr>
      <w:drawing>
        <wp:anchor distT="0" distB="0" distL="114300" distR="114300" simplePos="0" relativeHeight="251660288" behindDoc="1" locked="0" layoutInCell="1" allowOverlap="1" wp14:anchorId="52919C70" wp14:editId="372B50ED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709200" cy="42120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A68" w:rsidRPr="00DD2A68" w:rsidRDefault="00DD2A68" w:rsidP="00DD2A68">
    <w:pPr>
      <w:pStyle w:val="Kopfzeile"/>
      <w:pBdr>
        <w:bottom w:val="single" w:sz="4" w:space="4" w:color="BFBFBF" w:themeColor="background1" w:themeShade="BF"/>
      </w:pBdr>
      <w:spacing w:after="120"/>
      <w:jc w:val="center"/>
      <w:rPr>
        <w:rFonts w:cstheme="minorHAnsi"/>
        <w:color w:val="404040" w:themeColor="text1" w:themeTint="BF"/>
        <w:sz w:val="18"/>
      </w:rPr>
    </w:pPr>
    <w:r w:rsidRPr="001007E8">
      <w:rPr>
        <w:b/>
        <w:noProof/>
        <w:color w:val="404040" w:themeColor="text1" w:themeTint="BF"/>
        <w:lang w:eastAsia="de-AT"/>
      </w:rPr>
      <w:drawing>
        <wp:anchor distT="0" distB="0" distL="114300" distR="114300" simplePos="0" relativeHeight="251659264" behindDoc="0" locked="0" layoutInCell="1" allowOverlap="1" wp14:anchorId="13CC5E94" wp14:editId="22551C60">
          <wp:simplePos x="0" y="0"/>
          <wp:positionH relativeFrom="column">
            <wp:posOffset>-17780</wp:posOffset>
          </wp:positionH>
          <wp:positionV relativeFrom="paragraph">
            <wp:posOffset>19380</wp:posOffset>
          </wp:positionV>
          <wp:extent cx="1038225" cy="280670"/>
          <wp:effectExtent l="0" t="0" r="9525" b="508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klein_zwei_ohne stric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A45" w:rsidRPr="00505A45">
      <w:t xml:space="preserve"> </w:t>
    </w:r>
    <w:r w:rsidR="006545B0">
      <w:rPr>
        <w:rFonts w:cstheme="minorHAnsi"/>
        <w:color w:val="404040" w:themeColor="text1" w:themeTint="BF"/>
        <w:sz w:val="18"/>
      </w:rPr>
      <w:t>Leitfaden</w:t>
    </w:r>
    <w:r w:rsidR="00505A45" w:rsidRPr="00505A45">
      <w:rPr>
        <w:rFonts w:cstheme="minorHAnsi"/>
        <w:color w:val="404040" w:themeColor="text1" w:themeTint="BF"/>
        <w:sz w:val="18"/>
      </w:rPr>
      <w:t xml:space="preserve"> für die individuelle Bewertung </w:t>
    </w:r>
    <w:r w:rsidR="00505A45">
      <w:rPr>
        <w:rFonts w:cstheme="minorHAnsi"/>
        <w:color w:val="404040" w:themeColor="text1" w:themeTint="BF"/>
        <w:sz w:val="18"/>
      </w:rPr>
      <w:br/>
    </w:r>
    <w:r w:rsidR="00505A45" w:rsidRPr="00505A45">
      <w:rPr>
        <w:rFonts w:cstheme="minorHAnsi"/>
        <w:color w:val="404040" w:themeColor="text1" w:themeTint="BF"/>
        <w:sz w:val="18"/>
      </w:rPr>
      <w:t>einer Energieeffizienzmaßnahme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102"/>
    <w:multiLevelType w:val="hybridMultilevel"/>
    <w:tmpl w:val="F8E04D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211B4"/>
    <w:multiLevelType w:val="hybridMultilevel"/>
    <w:tmpl w:val="D9EE3F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773A6"/>
    <w:multiLevelType w:val="hybridMultilevel"/>
    <w:tmpl w:val="016E4870"/>
    <w:lvl w:ilvl="0" w:tplc="70363760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090354"/>
    <w:multiLevelType w:val="hybridMultilevel"/>
    <w:tmpl w:val="A948B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B1EA8"/>
    <w:multiLevelType w:val="hybridMultilevel"/>
    <w:tmpl w:val="A18633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377D8"/>
    <w:multiLevelType w:val="hybridMultilevel"/>
    <w:tmpl w:val="0E66AC24"/>
    <w:lvl w:ilvl="0" w:tplc="7E2007B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67755"/>
    <w:multiLevelType w:val="hybridMultilevel"/>
    <w:tmpl w:val="15B62C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E2002"/>
    <w:multiLevelType w:val="hybridMultilevel"/>
    <w:tmpl w:val="32E26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22FC4"/>
    <w:multiLevelType w:val="hybridMultilevel"/>
    <w:tmpl w:val="F4F897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uPzS8vhPcIqVal67HoL75Ajh+E=" w:salt="O4cofZnuiEvbZ5E+HqOh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68"/>
    <w:rsid w:val="00002FA0"/>
    <w:rsid w:val="000473A4"/>
    <w:rsid w:val="00093767"/>
    <w:rsid w:val="000E7285"/>
    <w:rsid w:val="000F4738"/>
    <w:rsid w:val="00127A63"/>
    <w:rsid w:val="0018685F"/>
    <w:rsid w:val="002C12A7"/>
    <w:rsid w:val="002D27C2"/>
    <w:rsid w:val="002F2D94"/>
    <w:rsid w:val="003047B6"/>
    <w:rsid w:val="00323FE3"/>
    <w:rsid w:val="003D384D"/>
    <w:rsid w:val="003E25EC"/>
    <w:rsid w:val="0047367F"/>
    <w:rsid w:val="0048697E"/>
    <w:rsid w:val="004A5AEA"/>
    <w:rsid w:val="00505A45"/>
    <w:rsid w:val="005364A8"/>
    <w:rsid w:val="006148AD"/>
    <w:rsid w:val="00615B10"/>
    <w:rsid w:val="00633449"/>
    <w:rsid w:val="006545B0"/>
    <w:rsid w:val="006664C5"/>
    <w:rsid w:val="006903BD"/>
    <w:rsid w:val="006950C7"/>
    <w:rsid w:val="006A0E11"/>
    <w:rsid w:val="007356C1"/>
    <w:rsid w:val="00737F7C"/>
    <w:rsid w:val="00875B41"/>
    <w:rsid w:val="008D4209"/>
    <w:rsid w:val="00922FC8"/>
    <w:rsid w:val="009247FF"/>
    <w:rsid w:val="009A5F86"/>
    <w:rsid w:val="00A67A73"/>
    <w:rsid w:val="00AF3E92"/>
    <w:rsid w:val="00B6393C"/>
    <w:rsid w:val="00B70EEA"/>
    <w:rsid w:val="00C02449"/>
    <w:rsid w:val="00C84415"/>
    <w:rsid w:val="00CC20DC"/>
    <w:rsid w:val="00D14E84"/>
    <w:rsid w:val="00D27DB4"/>
    <w:rsid w:val="00D50FF8"/>
    <w:rsid w:val="00DA68F8"/>
    <w:rsid w:val="00DD2A68"/>
    <w:rsid w:val="00E15424"/>
    <w:rsid w:val="00F31DF6"/>
    <w:rsid w:val="00F8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CC20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2A68"/>
  </w:style>
  <w:style w:type="paragraph" w:styleId="Fuzeile">
    <w:name w:val="footer"/>
    <w:basedOn w:val="Standard"/>
    <w:link w:val="FuzeileZchn"/>
    <w:uiPriority w:val="99"/>
    <w:unhideWhenUsed/>
    <w:rsid w:val="00DD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2A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A68"/>
    <w:rPr>
      <w:rFonts w:ascii="Tahoma" w:hAnsi="Tahoma" w:cs="Tahoma"/>
      <w:sz w:val="16"/>
      <w:szCs w:val="16"/>
    </w:rPr>
  </w:style>
  <w:style w:type="paragraph" w:customStyle="1" w:styleId="Standardtext">
    <w:name w:val="Standardtext"/>
    <w:basedOn w:val="Standard"/>
    <w:link w:val="StandardtextZchn"/>
    <w:uiPriority w:val="99"/>
    <w:qFormat/>
    <w:rsid w:val="00DD2A68"/>
    <w:pPr>
      <w:spacing w:after="120" w:line="264" w:lineRule="auto"/>
      <w:jc w:val="both"/>
    </w:pPr>
    <w:rPr>
      <w:color w:val="404040" w:themeColor="text1" w:themeTint="BF"/>
      <w:sz w:val="20"/>
    </w:rPr>
  </w:style>
  <w:style w:type="character" w:customStyle="1" w:styleId="StandardtextZchn">
    <w:name w:val="Standardtext Zchn"/>
    <w:basedOn w:val="Absatz-Standardschriftart"/>
    <w:link w:val="Standardtext"/>
    <w:uiPriority w:val="99"/>
    <w:rsid w:val="00DD2A68"/>
    <w:rPr>
      <w:color w:val="404040" w:themeColor="text1" w:themeTint="BF"/>
      <w:sz w:val="20"/>
    </w:rPr>
  </w:style>
  <w:style w:type="character" w:styleId="Hyperlink">
    <w:name w:val="Hyperlink"/>
    <w:basedOn w:val="Absatz-Standardschriftart"/>
    <w:uiPriority w:val="99"/>
    <w:unhideWhenUsed/>
    <w:rsid w:val="00DD2A68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2A68"/>
    <w:pPr>
      <w:suppressAutoHyphens/>
      <w:autoSpaceDE w:val="0"/>
      <w:autoSpaceDN w:val="0"/>
      <w:adjustRightInd w:val="0"/>
      <w:spacing w:before="240" w:after="0" w:line="288" w:lineRule="auto"/>
      <w:textAlignment w:val="center"/>
    </w:pPr>
    <w:rPr>
      <w:rFonts w:ascii="Calibri" w:hAnsi="Calibri" w:cs="Calibri"/>
      <w:color w:val="000000"/>
      <w:sz w:val="24"/>
      <w:szCs w:val="24"/>
      <w:u w:color="CE3415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2A68"/>
    <w:rPr>
      <w:rFonts w:ascii="Calibri" w:hAnsi="Calibri" w:cs="Calibri"/>
      <w:color w:val="000000"/>
      <w:sz w:val="24"/>
      <w:szCs w:val="24"/>
      <w:u w:color="CE3415"/>
      <w:lang w:val="de-DE"/>
    </w:rPr>
  </w:style>
  <w:style w:type="paragraph" w:styleId="Listenabsatz">
    <w:name w:val="List Paragraph"/>
    <w:basedOn w:val="Standard"/>
    <w:link w:val="ListenabsatzZchn"/>
    <w:uiPriority w:val="34"/>
    <w:qFormat/>
    <w:rsid w:val="00DD2A68"/>
    <w:pPr>
      <w:numPr>
        <w:numId w:val="1"/>
      </w:numPr>
      <w:spacing w:after="280" w:line="240" w:lineRule="auto"/>
      <w:contextualSpacing/>
    </w:pPr>
    <w:rPr>
      <w:sz w:val="20"/>
      <w:szCs w:val="20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D2A68"/>
    <w:rPr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D2A68"/>
    <w:rPr>
      <w:color w:val="808080"/>
    </w:rPr>
  </w:style>
  <w:style w:type="paragraph" w:customStyle="1" w:styleId="Default">
    <w:name w:val="Default"/>
    <w:rsid w:val="002C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andardCalibri">
    <w:name w:val="Standard Calibri"/>
    <w:basedOn w:val="Absatz-Standardschriftart"/>
    <w:uiPriority w:val="1"/>
    <w:rsid w:val="00002FA0"/>
    <w:rPr>
      <w:rFonts w:ascii="Calibri" w:hAnsi="Calibri"/>
      <w:color w:val="auto"/>
      <w:sz w:val="22"/>
    </w:rPr>
  </w:style>
  <w:style w:type="character" w:customStyle="1" w:styleId="Formatvorlage1">
    <w:name w:val="Formatvorlage1"/>
    <w:basedOn w:val="StandardCalibri"/>
    <w:uiPriority w:val="1"/>
    <w:rsid w:val="00002FA0"/>
    <w:rPr>
      <w:rFonts w:ascii="Calibri" w:hAnsi="Calibri"/>
      <w:color w:val="auto"/>
      <w:sz w:val="22"/>
    </w:rPr>
  </w:style>
  <w:style w:type="paragraph" w:customStyle="1" w:styleId="Flietext">
    <w:name w:val="Fließtext"/>
    <w:basedOn w:val="Standard"/>
    <w:link w:val="FlietextZchn"/>
    <w:qFormat/>
    <w:rsid w:val="000E7285"/>
    <w:pPr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FlietextZchn">
    <w:name w:val="Fließtext Zchn"/>
    <w:basedOn w:val="Absatz-Standardschriftart"/>
    <w:link w:val="Flietext"/>
    <w:rsid w:val="000E7285"/>
    <w:rPr>
      <w:rFonts w:ascii="Times New Roman" w:hAnsi="Times New Roman"/>
      <w:sz w:val="20"/>
    </w:rPr>
  </w:style>
  <w:style w:type="paragraph" w:styleId="Funotentext">
    <w:name w:val="footnote text"/>
    <w:aliases w:val="Footnote, Footnote"/>
    <w:basedOn w:val="Standard"/>
    <w:link w:val="FunotentextZchn"/>
    <w:uiPriority w:val="99"/>
    <w:unhideWhenUsed/>
    <w:qFormat/>
    <w:rsid w:val="000E7285"/>
    <w:pPr>
      <w:spacing w:after="0" w:line="240" w:lineRule="auto"/>
    </w:pPr>
    <w:rPr>
      <w:rFonts w:ascii="Times New Roman" w:hAnsi="Times New Roman"/>
      <w:sz w:val="16"/>
      <w:szCs w:val="20"/>
    </w:rPr>
  </w:style>
  <w:style w:type="character" w:customStyle="1" w:styleId="FunotentextZchn">
    <w:name w:val="Fußnotentext Zchn"/>
    <w:aliases w:val="Footnote Zchn, Footnote Zchn"/>
    <w:basedOn w:val="Absatz-Standardschriftart"/>
    <w:link w:val="Funotentext"/>
    <w:uiPriority w:val="99"/>
    <w:rsid w:val="000E7285"/>
    <w:rPr>
      <w:rFonts w:ascii="Times New Roman" w:hAnsi="Times New Roman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E7285"/>
    <w:rPr>
      <w:vertAlign w:val="superscript"/>
    </w:rPr>
  </w:style>
  <w:style w:type="table" w:styleId="Tabellenraster">
    <w:name w:val="Table Grid"/>
    <w:basedOn w:val="NormaleTabelle"/>
    <w:uiPriority w:val="59"/>
    <w:rsid w:val="0069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calibri12">
    <w:name w:val="Überschrift calibri 12"/>
    <w:basedOn w:val="Standard"/>
    <w:link w:val="berschriftcalibri12Zchn"/>
    <w:qFormat/>
    <w:rsid w:val="00B70EEA"/>
    <w:rPr>
      <w:b/>
      <w:color w:val="404040" w:themeColor="text1" w:themeTint="BF"/>
      <w:sz w:val="24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70EEA"/>
    <w:rPr>
      <w:color w:val="800080" w:themeColor="followedHyperlink"/>
      <w:u w:val="single"/>
    </w:rPr>
  </w:style>
  <w:style w:type="character" w:customStyle="1" w:styleId="berschriftcalibri12Zchn">
    <w:name w:val="Überschrift calibri 12 Zchn"/>
    <w:basedOn w:val="Absatz-Standardschriftart"/>
    <w:link w:val="berschriftcalibri12"/>
    <w:rsid w:val="00B70EEA"/>
    <w:rPr>
      <w:b/>
      <w:color w:val="404040" w:themeColor="text1" w:themeTint="BF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CC20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2A68"/>
  </w:style>
  <w:style w:type="paragraph" w:styleId="Fuzeile">
    <w:name w:val="footer"/>
    <w:basedOn w:val="Standard"/>
    <w:link w:val="FuzeileZchn"/>
    <w:uiPriority w:val="99"/>
    <w:unhideWhenUsed/>
    <w:rsid w:val="00DD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2A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A68"/>
    <w:rPr>
      <w:rFonts w:ascii="Tahoma" w:hAnsi="Tahoma" w:cs="Tahoma"/>
      <w:sz w:val="16"/>
      <w:szCs w:val="16"/>
    </w:rPr>
  </w:style>
  <w:style w:type="paragraph" w:customStyle="1" w:styleId="Standardtext">
    <w:name w:val="Standardtext"/>
    <w:basedOn w:val="Standard"/>
    <w:link w:val="StandardtextZchn"/>
    <w:uiPriority w:val="99"/>
    <w:qFormat/>
    <w:rsid w:val="00DD2A68"/>
    <w:pPr>
      <w:spacing w:after="120" w:line="264" w:lineRule="auto"/>
      <w:jc w:val="both"/>
    </w:pPr>
    <w:rPr>
      <w:color w:val="404040" w:themeColor="text1" w:themeTint="BF"/>
      <w:sz w:val="20"/>
    </w:rPr>
  </w:style>
  <w:style w:type="character" w:customStyle="1" w:styleId="StandardtextZchn">
    <w:name w:val="Standardtext Zchn"/>
    <w:basedOn w:val="Absatz-Standardschriftart"/>
    <w:link w:val="Standardtext"/>
    <w:uiPriority w:val="99"/>
    <w:rsid w:val="00DD2A68"/>
    <w:rPr>
      <w:color w:val="404040" w:themeColor="text1" w:themeTint="BF"/>
      <w:sz w:val="20"/>
    </w:rPr>
  </w:style>
  <w:style w:type="character" w:styleId="Hyperlink">
    <w:name w:val="Hyperlink"/>
    <w:basedOn w:val="Absatz-Standardschriftart"/>
    <w:uiPriority w:val="99"/>
    <w:unhideWhenUsed/>
    <w:rsid w:val="00DD2A68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2A68"/>
    <w:pPr>
      <w:suppressAutoHyphens/>
      <w:autoSpaceDE w:val="0"/>
      <w:autoSpaceDN w:val="0"/>
      <w:adjustRightInd w:val="0"/>
      <w:spacing w:before="240" w:after="0" w:line="288" w:lineRule="auto"/>
      <w:textAlignment w:val="center"/>
    </w:pPr>
    <w:rPr>
      <w:rFonts w:ascii="Calibri" w:hAnsi="Calibri" w:cs="Calibri"/>
      <w:color w:val="000000"/>
      <w:sz w:val="24"/>
      <w:szCs w:val="24"/>
      <w:u w:color="CE3415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2A68"/>
    <w:rPr>
      <w:rFonts w:ascii="Calibri" w:hAnsi="Calibri" w:cs="Calibri"/>
      <w:color w:val="000000"/>
      <w:sz w:val="24"/>
      <w:szCs w:val="24"/>
      <w:u w:color="CE3415"/>
      <w:lang w:val="de-DE"/>
    </w:rPr>
  </w:style>
  <w:style w:type="paragraph" w:styleId="Listenabsatz">
    <w:name w:val="List Paragraph"/>
    <w:basedOn w:val="Standard"/>
    <w:link w:val="ListenabsatzZchn"/>
    <w:uiPriority w:val="34"/>
    <w:qFormat/>
    <w:rsid w:val="00DD2A68"/>
    <w:pPr>
      <w:numPr>
        <w:numId w:val="1"/>
      </w:numPr>
      <w:spacing w:after="280" w:line="240" w:lineRule="auto"/>
      <w:contextualSpacing/>
    </w:pPr>
    <w:rPr>
      <w:sz w:val="20"/>
      <w:szCs w:val="20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D2A68"/>
    <w:rPr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D2A68"/>
    <w:rPr>
      <w:color w:val="808080"/>
    </w:rPr>
  </w:style>
  <w:style w:type="paragraph" w:customStyle="1" w:styleId="Default">
    <w:name w:val="Default"/>
    <w:rsid w:val="002C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andardCalibri">
    <w:name w:val="Standard Calibri"/>
    <w:basedOn w:val="Absatz-Standardschriftart"/>
    <w:uiPriority w:val="1"/>
    <w:rsid w:val="00002FA0"/>
    <w:rPr>
      <w:rFonts w:ascii="Calibri" w:hAnsi="Calibri"/>
      <w:color w:val="auto"/>
      <w:sz w:val="22"/>
    </w:rPr>
  </w:style>
  <w:style w:type="character" w:customStyle="1" w:styleId="Formatvorlage1">
    <w:name w:val="Formatvorlage1"/>
    <w:basedOn w:val="StandardCalibri"/>
    <w:uiPriority w:val="1"/>
    <w:rsid w:val="00002FA0"/>
    <w:rPr>
      <w:rFonts w:ascii="Calibri" w:hAnsi="Calibri"/>
      <w:color w:val="auto"/>
      <w:sz w:val="22"/>
    </w:rPr>
  </w:style>
  <w:style w:type="paragraph" w:customStyle="1" w:styleId="Flietext">
    <w:name w:val="Fließtext"/>
    <w:basedOn w:val="Standard"/>
    <w:link w:val="FlietextZchn"/>
    <w:qFormat/>
    <w:rsid w:val="000E7285"/>
    <w:pPr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FlietextZchn">
    <w:name w:val="Fließtext Zchn"/>
    <w:basedOn w:val="Absatz-Standardschriftart"/>
    <w:link w:val="Flietext"/>
    <w:rsid w:val="000E7285"/>
    <w:rPr>
      <w:rFonts w:ascii="Times New Roman" w:hAnsi="Times New Roman"/>
      <w:sz w:val="20"/>
    </w:rPr>
  </w:style>
  <w:style w:type="paragraph" w:styleId="Funotentext">
    <w:name w:val="footnote text"/>
    <w:aliases w:val="Footnote, Footnote"/>
    <w:basedOn w:val="Standard"/>
    <w:link w:val="FunotentextZchn"/>
    <w:uiPriority w:val="99"/>
    <w:unhideWhenUsed/>
    <w:qFormat/>
    <w:rsid w:val="000E7285"/>
    <w:pPr>
      <w:spacing w:after="0" w:line="240" w:lineRule="auto"/>
    </w:pPr>
    <w:rPr>
      <w:rFonts w:ascii="Times New Roman" w:hAnsi="Times New Roman"/>
      <w:sz w:val="16"/>
      <w:szCs w:val="20"/>
    </w:rPr>
  </w:style>
  <w:style w:type="character" w:customStyle="1" w:styleId="FunotentextZchn">
    <w:name w:val="Fußnotentext Zchn"/>
    <w:aliases w:val="Footnote Zchn, Footnote Zchn"/>
    <w:basedOn w:val="Absatz-Standardschriftart"/>
    <w:link w:val="Funotentext"/>
    <w:uiPriority w:val="99"/>
    <w:rsid w:val="000E7285"/>
    <w:rPr>
      <w:rFonts w:ascii="Times New Roman" w:hAnsi="Times New Roman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E7285"/>
    <w:rPr>
      <w:vertAlign w:val="superscript"/>
    </w:rPr>
  </w:style>
  <w:style w:type="table" w:styleId="Tabellenraster">
    <w:name w:val="Table Grid"/>
    <w:basedOn w:val="NormaleTabelle"/>
    <w:uiPriority w:val="59"/>
    <w:rsid w:val="0069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calibri12">
    <w:name w:val="Überschrift calibri 12"/>
    <w:basedOn w:val="Standard"/>
    <w:link w:val="berschriftcalibri12Zchn"/>
    <w:qFormat/>
    <w:rsid w:val="00B70EEA"/>
    <w:rPr>
      <w:b/>
      <w:color w:val="404040" w:themeColor="text1" w:themeTint="BF"/>
      <w:sz w:val="24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70EEA"/>
    <w:rPr>
      <w:color w:val="800080" w:themeColor="followedHyperlink"/>
      <w:u w:val="single"/>
    </w:rPr>
  </w:style>
  <w:style w:type="character" w:customStyle="1" w:styleId="berschriftcalibri12Zchn">
    <w:name w:val="Überschrift calibri 12 Zchn"/>
    <w:basedOn w:val="Absatz-Standardschriftart"/>
    <w:link w:val="berschriftcalibri12"/>
    <w:rsid w:val="00B70EEA"/>
    <w:rPr>
      <w:b/>
      <w:color w:val="404040" w:themeColor="text1" w:themeTint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itoringstelle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C8D5-0C0A-43A3-BE99-914B720C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9EEB5B3F</Template>
  <TotalTime>0</TotalTime>
  <Pages>6</Pages>
  <Words>1156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Fanschek</dc:creator>
  <cp:lastModifiedBy>Laura Fanschek</cp:lastModifiedBy>
  <cp:revision>39</cp:revision>
  <cp:lastPrinted>2016-12-07T13:45:00Z</cp:lastPrinted>
  <dcterms:created xsi:type="dcterms:W3CDTF">2016-12-05T13:26:00Z</dcterms:created>
  <dcterms:modified xsi:type="dcterms:W3CDTF">2016-12-15T10:08:00Z</dcterms:modified>
</cp:coreProperties>
</file>